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pStyle w:val="Heading1"/>
        <w:spacing w:before="200" w:after="240"/>
        <w:jc w:val="center"/>
      </w:pPr>
      <w:r>
        <w:rPr>
          <w:b/>
          <w:bCs/>
          <w:color w:val="1E3A8A"/>
          <w:sz w:val="38"/>
          <w:szCs w:val="38"/>
        </w:rPr>
        <w:t xml:space="preserve">UPSC Marksheet 2025: Download CSE Scorecard PDF, Check Topper Marks &amp; Step-by-Step Guide</w:t>
      </w:r>
    </w:p>
    <w:p>
      <w:pPr>
        <w:spacing w:before="0" w:after="280"/>
        <w:jc w:val="center"/>
      </w:pPr>
      <w:r>
        <w:rPr>
          <w:i/>
          <w:iCs/>
          <w:color w:val="6B7280"/>
          <w:sz w:val="18"/>
          <w:szCs w:val="18"/>
        </w:rPr>
        <w:t xml:space="preserve">Last Updated: March 10, 2026  |  Source: upsc.gov.in  |  Topic: UPSC Civil Services Examination 2025</w:t>
      </w:r>
    </w:p>
    <w:p>
      <w:pPr>
        <w:spacing w:before="100" w:after="160"/>
      </w:pPr>
      <w:r>
        <w:rPr>
          <w:sz w:val="22"/>
          <w:szCs w:val="22"/>
        </w:rPr>
        <w:t xml:space="preserve">The wait is almost over. </w:t>
      </w:r>
      <w:r>
        <w:rPr>
          <w:b/>
          <w:bCs/>
          <w:sz w:val="22"/>
          <w:szCs w:val="22"/>
        </w:rPr>
        <w:t xml:space="preserve">UPSC declared the Civil Services Examination (CSE) Final Result 2025 on 6 March 2026</w:t>
      </w:r>
      <w:r>
        <w:rPr>
          <w:sz w:val="22"/>
          <w:szCs w:val="22"/>
        </w:rPr>
        <w:t xml:space="preserve"> — and now every aspirant across India is refreshing their browsers, waiting for the </w:t>
      </w:r>
      <w:r>
        <w:rPr>
          <w:b/>
          <w:bCs/>
          <w:sz w:val="22"/>
          <w:szCs w:val="22"/>
        </w:rPr>
        <w:t xml:space="preserve">UPSC Marksheet 2025</w:t>
      </w:r>
      <w:r>
        <w:rPr>
          <w:sz w:val="22"/>
          <w:szCs w:val="22"/>
        </w:rPr>
        <w:t xml:space="preserve">. Whether you cracked it this time or plan to come back stronger, the marksheet is your mirror. It shows you exactly where you stood, where you shone, and honestly, where you needed more chai and more practice.</w:t>
      </w:r>
    </w:p>
    <w:p>
      <w:pPr>
        <w:spacing w:before="100" w:after="160"/>
      </w:pPr>
      <w:r>
        <w:rPr>
          <w:sz w:val="22"/>
          <w:szCs w:val="22"/>
        </w:rPr>
        <w:t xml:space="preserve">This article covers everything you need — the expected release date, the direct download steps, what the marksheet actually contains, and how to use your score to prepare smarter. No fluff, only facts.</w:t>
      </w:r>
    </w:p>
    <w:p>
      <w:pPr>
        <w:pStyle w:val="Heading2"/>
        <w:spacing w:before="240" w:after="120"/>
      </w:pPr>
      <w:r>
        <w:rPr>
          <w:b/>
          <w:bCs/>
        </w:rPr>
        <w:t xml:space="preserve">What Is the UPSC Marksheet 2025?</w:t>
      </w:r>
    </w:p>
    <w:p>
      <w:pPr>
        <w:spacing w:before="100" w:after="160"/>
      </w:pPr>
      <w:r>
        <w:rPr>
          <w:sz w:val="22"/>
          <w:szCs w:val="22"/>
        </w:rPr>
        <w:t xml:space="preserve">The </w:t>
      </w:r>
      <w:r>
        <w:rPr>
          <w:b/>
          <w:bCs/>
          <w:sz w:val="22"/>
          <w:szCs w:val="22"/>
        </w:rPr>
        <w:t xml:space="preserve">UPSC CSE Marksheet 2025</w:t>
      </w:r>
      <w:r>
        <w:rPr>
          <w:sz w:val="22"/>
          <w:szCs w:val="22"/>
        </w:rPr>
        <w:t xml:space="preserve"> is an official document released by the Union Public Service Commission (UPSC). It contains a detailed breakdown of the marks you scored at each stage of the Civil Services Examination — the Mains written papers and the Personality Test (Interview).</w:t>
      </w:r>
    </w:p>
    <w:p>
      <w:pPr>
        <w:spacing w:before="100" w:after="160"/>
      </w:pPr>
      <w:r>
        <w:rPr>
          <w:sz w:val="22"/>
          <w:szCs w:val="22"/>
        </w:rPr>
        <w:t xml:space="preserve">Think of it as your official UPSC report card. Unlike the final result PDF, which only tells you whether you made the cut, the marksheet tells you how close (or how far) you were — and that information is gold for the next attempt.</w:t>
      </w:r>
    </w:p>
    <w:p>
      <w:pPr>
        <w:spacing w:before="100" w:after="160"/>
      </w:pPr>
      <w:r>
        <w:rPr>
          <w:sz w:val="22"/>
          <w:szCs w:val="22"/>
        </w:rPr>
        <w:t xml:space="preserve">Importantly, UPSC releases the marksheet for </w:t>
      </w:r>
      <w:r>
        <w:rPr>
          <w:b/>
          <w:bCs/>
          <w:sz w:val="22"/>
          <w:szCs w:val="22"/>
        </w:rPr>
        <w:t xml:space="preserve">both recommended and non-recommended candidates</w:t>
      </w:r>
      <w:r>
        <w:rPr>
          <w:sz w:val="22"/>
          <w:szCs w:val="22"/>
        </w:rPr>
        <w:t xml:space="preserve">. So even if your name did not appear in the merit list, your individual scorecard will be available. (Source: </w:t>
      </w:r>
      <w:hyperlink w:history="1" r:id="rId5w45svgdkxitdwj10o8wl">
        <w:r>
          <w:rPr>
            <w:rStyle w:val="Hyperlink"/>
            <w:color w:val="2563EB"/>
            <w:sz w:val="22"/>
            <w:szCs w:val="22"/>
          </w:rPr>
          <w:t xml:space="preserve">upsc.gov.in</w:t>
        </w:r>
      </w:hyperlink>
      <w:r>
        <w:rPr>
          <w:sz w:val="22"/>
          <w:szCs w:val="22"/>
        </w:rPr>
        <w:t xml:space="preserve">)</w:t>
      </w:r>
    </w:p>
    <w:p>
      <w:pPr>
        <w:pStyle w:val="Heading2"/>
        <w:spacing w:before="240" w:after="120"/>
      </w:pPr>
      <w:r>
        <w:rPr>
          <w:b/>
          <w:bCs/>
        </w:rPr>
        <w:t xml:space="preserve">UPSC Marksheet 2025 Expected Release Date</w:t>
      </w:r>
    </w:p>
    <w:p>
      <w:pPr>
        <w:spacing w:before="100" w:after="160"/>
      </w:pPr>
      <w:r>
        <w:rPr>
          <w:b/>
          <w:bCs/>
          <w:sz w:val="22"/>
          <w:szCs w:val="22"/>
        </w:rPr>
        <w:t xml:space="preserve">The UPSC Final Result 2025 was officially declared on 6 March 2026.</w:t>
      </w:r>
      <w:r>
        <w:rPr>
          <w:sz w:val="22"/>
          <w:szCs w:val="22"/>
        </w:rPr>
        <w:t xml:space="preserve"> According to the standard UPSC practice, the marksheet is released within 15 days of the final result declaration. That means the UPSC Marksheet 2025 is expected to go live in </w:t>
      </w:r>
      <w:r>
        <w:rPr>
          <w:b/>
          <w:bCs/>
          <w:sz w:val="22"/>
          <w:szCs w:val="22"/>
        </w:rPr>
        <w:t xml:space="preserve">mid-March 2026</w:t>
      </w:r>
      <w:r>
        <w:rPr>
          <w:sz w:val="22"/>
          <w:szCs w:val="22"/>
        </w:rPr>
        <w:t xml:space="preserve"> — roughly around 20–21 March 2026.</w:t>
      </w:r>
    </w:p>
    <w:p>
      <w:pPr>
        <w:spacing w:before="100" w:after="160"/>
      </w:pPr>
      <w:r>
        <w:rPr>
          <w:sz w:val="22"/>
          <w:szCs w:val="22"/>
        </w:rPr>
        <w:t xml:space="preserve">UPSC does not announce a separate press release for the marksheet. It quietly uploads the PDF link on the official portal. The smart move? Keep checking the official website daily.</w:t>
      </w:r>
    </w:p>
    <w:p>
      <w:pPr>
        <w:spacing w:before="160" w:after="100"/>
      </w:pPr>
      <w:r>
        <w:rPr>
          <w:b/>
          <w:bCs/>
          <w:color w:val="1E3A8A"/>
          <w:sz w:val="22"/>
          <w:szCs w:val="22"/>
        </w:rPr>
        <w:t xml:space="preserve">Key Dates at a Glance</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680"/>
        <w:gridCol w:w="4680"/>
      </w:tblGrid>
      <w:tr>
        <w:tc>
          <w:tcPr>
            <w:tcW w:type="dxa" w:w="4680"/>
            <w:tcBorders>
              <w:top w:val="single" w:color="CCCCCC" w:sz="1"/>
              <w:left w:val="single" w:color="CCCCCC" w:sz="1"/>
              <w:bottom w:val="single" w:color="CCCCCC" w:sz="1"/>
              <w:right w:val="single" w:color="CCCCCC" w:sz="1"/>
            </w:tcBorders>
            <w:shd w:fill="DBEAFE" w:val="clear"/>
            <w:tcMar>
              <w:top w:type="dxa" w:w="80"/>
              <w:left w:type="dxa" w:w="120"/>
              <w:bottom w:type="dxa" w:w="80"/>
              <w:right w:type="dxa" w:w="120"/>
            </w:tcMar>
          </w:tcPr>
          <w:p>
            <w:r>
              <w:rPr>
                <w:b/>
                <w:bCs/>
                <w:sz w:val="20"/>
                <w:szCs w:val="20"/>
              </w:rPr>
              <w:t xml:space="preserve">Event</w:t>
            </w:r>
          </w:p>
        </w:tc>
        <w:tc>
          <w:tcPr>
            <w:tcW w:type="dxa" w:w="4680"/>
            <w:tcBorders>
              <w:top w:val="single" w:color="CCCCCC" w:sz="1"/>
              <w:left w:val="single" w:color="CCCCCC" w:sz="1"/>
              <w:bottom w:val="single" w:color="CCCCCC" w:sz="1"/>
              <w:right w:val="single" w:color="CCCCCC" w:sz="1"/>
            </w:tcBorders>
            <w:shd w:fill="DBEAFE" w:val="clear"/>
            <w:tcMar>
              <w:top w:type="dxa" w:w="80"/>
              <w:left w:type="dxa" w:w="120"/>
              <w:bottom w:type="dxa" w:w="80"/>
              <w:right w:type="dxa" w:w="120"/>
            </w:tcMar>
          </w:tcPr>
          <w:p>
            <w:r>
              <w:rPr>
                <w:b/>
                <w:bCs/>
                <w:sz w:val="20"/>
                <w:szCs w:val="20"/>
              </w:rPr>
              <w:t xml:space="preserve">Date / Status</w:t>
            </w:r>
          </w:p>
        </w:tc>
      </w:tr>
      <w:tr>
        <w:tc>
          <w:tcPr>
            <w:tcW w:type="dxa" w:w="4680"/>
            <w:tcBorders>
              <w:top w:val="single" w:color="CCCCCC" w:sz="1"/>
              <w:left w:val="single" w:color="CCCCCC" w:sz="1"/>
              <w:bottom w:val="single" w:color="CCCCCC" w:sz="1"/>
              <w:right w:val="single" w:color="CCCCCC" w:sz="1"/>
            </w:tcBorders>
            <w:shd w:fill="F8FAFC" w:val="clear"/>
            <w:tcMar>
              <w:top w:type="dxa" w:w="80"/>
              <w:left w:type="dxa" w:w="120"/>
              <w:bottom w:type="dxa" w:w="80"/>
              <w:right w:type="dxa" w:w="120"/>
            </w:tcMar>
          </w:tcPr>
          <w:p>
            <w:r>
              <w:rPr>
                <w:b w:val="false"/>
                <w:bCs w:val="false"/>
                <w:sz w:val="20"/>
                <w:szCs w:val="20"/>
              </w:rPr>
              <w:t xml:space="preserve">UPSC Mains Examination 2025</w:t>
            </w:r>
          </w:p>
        </w:tc>
        <w:tc>
          <w:tcPr>
            <w:tcW w:type="dxa" w:w="468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b w:val="false"/>
                <w:bCs w:val="false"/>
                <w:sz w:val="20"/>
                <w:szCs w:val="20"/>
              </w:rPr>
              <w:t xml:space="preserve">August 2025</w:t>
            </w:r>
          </w:p>
        </w:tc>
      </w:tr>
      <w:tr>
        <w:tc>
          <w:tcPr>
            <w:tcW w:type="dxa" w:w="4680"/>
            <w:tcBorders>
              <w:top w:val="single" w:color="CCCCCC" w:sz="1"/>
              <w:left w:val="single" w:color="CCCCCC" w:sz="1"/>
              <w:bottom w:val="single" w:color="CCCCCC" w:sz="1"/>
              <w:right w:val="single" w:color="CCCCCC" w:sz="1"/>
            </w:tcBorders>
            <w:shd w:fill="F8FAFC" w:val="clear"/>
            <w:tcMar>
              <w:top w:type="dxa" w:w="80"/>
              <w:left w:type="dxa" w:w="120"/>
              <w:bottom w:type="dxa" w:w="80"/>
              <w:right w:type="dxa" w:w="120"/>
            </w:tcMar>
          </w:tcPr>
          <w:p>
            <w:r>
              <w:rPr>
                <w:b w:val="false"/>
                <w:bCs w:val="false"/>
                <w:sz w:val="20"/>
                <w:szCs w:val="20"/>
              </w:rPr>
              <w:t xml:space="preserve">Personality Test (Interview)</w:t>
            </w:r>
          </w:p>
        </w:tc>
        <w:tc>
          <w:tcPr>
            <w:tcW w:type="dxa" w:w="468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b w:val="false"/>
                <w:bCs w:val="false"/>
                <w:sz w:val="20"/>
                <w:szCs w:val="20"/>
              </w:rPr>
              <w:t xml:space="preserve">December 2025 – February 2026</w:t>
            </w:r>
          </w:p>
        </w:tc>
      </w:tr>
      <w:tr>
        <w:tc>
          <w:tcPr>
            <w:tcW w:type="dxa" w:w="4680"/>
            <w:tcBorders>
              <w:top w:val="single" w:color="CCCCCC" w:sz="1"/>
              <w:left w:val="single" w:color="CCCCCC" w:sz="1"/>
              <w:bottom w:val="single" w:color="CCCCCC" w:sz="1"/>
              <w:right w:val="single" w:color="CCCCCC" w:sz="1"/>
            </w:tcBorders>
            <w:shd w:fill="F8FAFC" w:val="clear"/>
            <w:tcMar>
              <w:top w:type="dxa" w:w="80"/>
              <w:left w:type="dxa" w:w="120"/>
              <w:bottom w:type="dxa" w:w="80"/>
              <w:right w:type="dxa" w:w="120"/>
            </w:tcMar>
          </w:tcPr>
          <w:p>
            <w:r>
              <w:rPr>
                <w:b w:val="false"/>
                <w:bCs w:val="false"/>
                <w:sz w:val="20"/>
                <w:szCs w:val="20"/>
              </w:rPr>
              <w:t xml:space="preserve">UPSC CSE Final Result 2025 Declared</w:t>
            </w:r>
          </w:p>
        </w:tc>
        <w:tc>
          <w:tcPr>
            <w:tcW w:type="dxa" w:w="468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b w:val="false"/>
                <w:bCs w:val="false"/>
                <w:sz w:val="20"/>
                <w:szCs w:val="20"/>
              </w:rPr>
              <w:t xml:space="preserve">6 March 2026</w:t>
            </w:r>
          </w:p>
        </w:tc>
      </w:tr>
      <w:tr>
        <w:tc>
          <w:tcPr>
            <w:tcW w:type="dxa" w:w="4680"/>
            <w:tcBorders>
              <w:top w:val="single" w:color="CCCCCC" w:sz="1"/>
              <w:left w:val="single" w:color="CCCCCC" w:sz="1"/>
              <w:bottom w:val="single" w:color="CCCCCC" w:sz="1"/>
              <w:right w:val="single" w:color="CCCCCC" w:sz="1"/>
            </w:tcBorders>
            <w:shd w:fill="F8FAFC" w:val="clear"/>
            <w:tcMar>
              <w:top w:type="dxa" w:w="80"/>
              <w:left w:type="dxa" w:w="120"/>
              <w:bottom w:type="dxa" w:w="80"/>
              <w:right w:type="dxa" w:w="120"/>
            </w:tcMar>
          </w:tcPr>
          <w:p>
            <w:r>
              <w:rPr>
                <w:b w:val="false"/>
                <w:bCs w:val="false"/>
                <w:sz w:val="20"/>
                <w:szCs w:val="20"/>
              </w:rPr>
              <w:t xml:space="preserve">UPSC Topper 2025 (AIR 1)</w:t>
            </w:r>
          </w:p>
        </w:tc>
        <w:tc>
          <w:tcPr>
            <w:tcW w:type="dxa" w:w="468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b w:val="false"/>
                <w:bCs w:val="false"/>
                <w:sz w:val="20"/>
                <w:szCs w:val="20"/>
              </w:rPr>
              <w:t xml:space="preserve">Anuj Agnihotri</w:t>
            </w:r>
          </w:p>
        </w:tc>
      </w:tr>
      <w:tr>
        <w:tc>
          <w:tcPr>
            <w:tcW w:type="dxa" w:w="4680"/>
            <w:tcBorders>
              <w:top w:val="single" w:color="CCCCCC" w:sz="1"/>
              <w:left w:val="single" w:color="CCCCCC" w:sz="1"/>
              <w:bottom w:val="single" w:color="CCCCCC" w:sz="1"/>
              <w:right w:val="single" w:color="CCCCCC" w:sz="1"/>
            </w:tcBorders>
            <w:shd w:fill="F8FAFC" w:val="clear"/>
            <w:tcMar>
              <w:top w:type="dxa" w:w="80"/>
              <w:left w:type="dxa" w:w="120"/>
              <w:bottom w:type="dxa" w:w="80"/>
              <w:right w:type="dxa" w:w="120"/>
            </w:tcMar>
          </w:tcPr>
          <w:p>
            <w:r>
              <w:rPr>
                <w:b w:val="false"/>
                <w:bCs w:val="false"/>
                <w:sz w:val="20"/>
                <w:szCs w:val="20"/>
              </w:rPr>
              <w:t xml:space="preserve">Expected Marksheet Release</w:t>
            </w:r>
          </w:p>
        </w:tc>
        <w:tc>
          <w:tcPr>
            <w:tcW w:type="dxa" w:w="468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b w:val="false"/>
                <w:bCs w:val="false"/>
                <w:sz w:val="20"/>
                <w:szCs w:val="20"/>
              </w:rPr>
              <w:t xml:space="preserve">Mid-March 2026 (within 15 days)</w:t>
            </w:r>
          </w:p>
        </w:tc>
      </w:tr>
      <w:tr>
        <w:tc>
          <w:tcPr>
            <w:tcW w:type="dxa" w:w="4680"/>
            <w:tcBorders>
              <w:top w:val="single" w:color="CCCCCC" w:sz="1"/>
              <w:left w:val="single" w:color="CCCCCC" w:sz="1"/>
              <w:bottom w:val="single" w:color="CCCCCC" w:sz="1"/>
              <w:right w:val="single" w:color="CCCCCC" w:sz="1"/>
            </w:tcBorders>
            <w:shd w:fill="F8FAFC" w:val="clear"/>
            <w:tcMar>
              <w:top w:type="dxa" w:w="80"/>
              <w:left w:type="dxa" w:w="120"/>
              <w:bottom w:type="dxa" w:w="80"/>
              <w:right w:type="dxa" w:w="120"/>
            </w:tcMar>
          </w:tcPr>
          <w:p>
            <w:r>
              <w:rPr>
                <w:b w:val="false"/>
                <w:bCs w:val="false"/>
                <w:sz w:val="20"/>
                <w:szCs w:val="20"/>
              </w:rPr>
              <w:t xml:space="preserve">Official Website</w:t>
            </w:r>
          </w:p>
        </w:tc>
        <w:tc>
          <w:tcPr>
            <w:tcW w:type="dxa" w:w="468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b w:val="false"/>
                <w:bCs w:val="false"/>
                <w:sz w:val="20"/>
                <w:szCs w:val="20"/>
              </w:rPr>
              <w:t xml:space="preserve">upsc.gov.in / upsconline.nic.in</w:t>
            </w:r>
          </w:p>
        </w:tc>
      </w:tr>
    </w:tbl>
    <w:p>
      <w:pPr>
        <w:pStyle w:val="Heading2"/>
        <w:spacing w:before="240" w:after="120"/>
      </w:pPr>
      <w:r>
        <w:rPr>
          <w:b/>
          <w:bCs/>
        </w:rPr>
        <w:t xml:space="preserve">How to Download UPSC Marksheet 2025 — Step by Step</w:t>
      </w:r>
    </w:p>
    <w:p>
      <w:pPr>
        <w:spacing w:before="100" w:after="160"/>
      </w:pPr>
      <w:r>
        <w:rPr>
          <w:sz w:val="22"/>
          <w:szCs w:val="22"/>
        </w:rPr>
        <w:t xml:space="preserve">Downloading the marksheet is straightforward once UPSC uploads it. Follow these steps exactly:</w:t>
      </w:r>
    </w:p>
    <w:p>
      <w:pPr>
        <w:pStyle w:val="ListParagraph"/>
        <w:numPr>
          <w:ilvl w:val="0"/>
          <w:numId w:val="2"/>
        </w:numPr>
        <w:spacing w:before="80" w:after="80"/>
      </w:pPr>
      <w:r>
        <w:rPr>
          <w:sz w:val="22"/>
          <w:szCs w:val="22"/>
        </w:rPr>
        <w:t xml:space="preserve">Visit the official UPSC website: upsc.gov.in or upsconline.nic.in</w:t>
      </w:r>
    </w:p>
    <w:p>
      <w:pPr>
        <w:pStyle w:val="ListParagraph"/>
        <w:numPr>
          <w:ilvl w:val="0"/>
          <w:numId w:val="2"/>
        </w:numPr>
        <w:spacing w:before="80" w:after="80"/>
      </w:pPr>
      <w:r>
        <w:rPr>
          <w:sz w:val="22"/>
          <w:szCs w:val="22"/>
        </w:rPr>
        <w:t xml:space="preserve">Look for the 'Examinations' section or the 'What's New' panel on the homepage.</w:t>
      </w:r>
    </w:p>
    <w:p>
      <w:pPr>
        <w:pStyle w:val="ListParagraph"/>
        <w:numPr>
          <w:ilvl w:val="0"/>
          <w:numId w:val="2"/>
        </w:numPr>
        <w:spacing w:before="80" w:after="80"/>
      </w:pPr>
      <w:r>
        <w:rPr>
          <w:sz w:val="22"/>
          <w:szCs w:val="22"/>
        </w:rPr>
        <w:t xml:space="preserve">Click on the link titled 'Civil Services Examination 2025 – Marks' or 'UPSC CSE Marksheet 2025'.</w:t>
      </w:r>
    </w:p>
    <w:p>
      <w:pPr>
        <w:pStyle w:val="ListParagraph"/>
        <w:numPr>
          <w:ilvl w:val="0"/>
          <w:numId w:val="2"/>
        </w:numPr>
        <w:spacing w:before="80" w:after="80"/>
      </w:pPr>
      <w:r>
        <w:rPr>
          <w:sz w:val="22"/>
          <w:szCs w:val="22"/>
        </w:rPr>
        <w:t xml:space="preserve">Enter your Roll Number and Date of Birth in the required fields.</w:t>
      </w:r>
    </w:p>
    <w:p>
      <w:pPr>
        <w:pStyle w:val="ListParagraph"/>
        <w:numPr>
          <w:ilvl w:val="0"/>
          <w:numId w:val="2"/>
        </w:numPr>
        <w:spacing w:before="80" w:after="80"/>
      </w:pPr>
      <w:r>
        <w:rPr>
          <w:sz w:val="22"/>
          <w:szCs w:val="22"/>
        </w:rPr>
        <w:t xml:space="preserve">Complete the CAPTCHA / security verification.</w:t>
      </w:r>
    </w:p>
    <w:p>
      <w:pPr>
        <w:pStyle w:val="ListParagraph"/>
        <w:numPr>
          <w:ilvl w:val="0"/>
          <w:numId w:val="2"/>
        </w:numPr>
        <w:spacing w:before="80" w:after="80"/>
      </w:pPr>
      <w:r>
        <w:rPr>
          <w:sz w:val="22"/>
          <w:szCs w:val="22"/>
        </w:rPr>
        <w:t xml:space="preserve">Your marksheet will appear on screen. Download it as a PDF and save it for future reference.</w:t>
      </w:r>
    </w:p>
    <w:p>
      <w:pPr>
        <w:spacing w:before="100" w:after="160"/>
      </w:pPr>
      <w:r>
        <w:rPr>
          <w:sz w:val="22"/>
          <w:szCs w:val="22"/>
        </w:rPr>
        <w:t xml:space="preserve">Pro tip: Save the PDF immediately. UPSC marksheets are available online for a limited period and are not sent to candidates physically. (Reference: </w:t>
      </w:r>
      <w:hyperlink w:history="1" r:id="rIdnvixf9dfwd3gl1n5f-kq7">
        <w:r>
          <w:rPr>
            <w:rStyle w:val="Hyperlink"/>
            <w:color w:val="2563EB"/>
            <w:sz w:val="22"/>
            <w:szCs w:val="22"/>
          </w:rPr>
          <w:t xml:space="preserve">UPSC Official Portal</w:t>
        </w:r>
      </w:hyperlink>
      <w:r>
        <w:rPr>
          <w:sz w:val="22"/>
          <w:szCs w:val="22"/>
        </w:rPr>
        <w:t xml:space="preserve">)</w:t>
      </w:r>
    </w:p>
    <w:p>
      <w:pPr>
        <w:pStyle w:val="Heading2"/>
        <w:spacing w:before="240" w:after="120"/>
      </w:pPr>
      <w:r>
        <w:rPr>
          <w:b/>
          <w:bCs/>
        </w:rPr>
        <w:t xml:space="preserve">What Does the UPSC Marksheet 2025 Contain?</w:t>
      </w:r>
    </w:p>
    <w:p>
      <w:pPr>
        <w:spacing w:before="100" w:after="160"/>
      </w:pPr>
      <w:r>
        <w:rPr>
          <w:sz w:val="22"/>
          <w:szCs w:val="22"/>
        </w:rPr>
        <w:t xml:space="preserve">The marksheet is more detailed than most candidates expect. Here is what you will find inside:</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120"/>
        <w:gridCol w:w="3120"/>
        <w:gridCol w:w="3120"/>
      </w:tblGrid>
      <w:tr>
        <w:tc>
          <w:tcPr>
            <w:tcW w:type="dxa" w:w="3120"/>
            <w:tcBorders>
              <w:top w:val="single" w:color="CCCCCC" w:sz="1"/>
              <w:left w:val="single" w:color="CCCCCC" w:sz="1"/>
              <w:bottom w:val="single" w:color="CCCCCC" w:sz="1"/>
              <w:right w:val="single" w:color="CCCCCC" w:sz="1"/>
            </w:tcBorders>
            <w:shd w:fill="DBEAFE" w:val="clear"/>
            <w:tcMar>
              <w:top w:type="dxa" w:w="80"/>
              <w:left w:type="dxa" w:w="120"/>
              <w:bottom w:type="dxa" w:w="80"/>
              <w:right w:type="dxa" w:w="120"/>
            </w:tcMar>
          </w:tcPr>
          <w:p>
            <w:r>
              <w:rPr>
                <w:b/>
                <w:bCs/>
                <w:sz w:val="20"/>
                <w:szCs w:val="20"/>
              </w:rPr>
              <w:t xml:space="preserve">Section</w:t>
            </w:r>
          </w:p>
        </w:tc>
        <w:tc>
          <w:tcPr>
            <w:tcW w:type="dxa" w:w="3120"/>
            <w:tcBorders>
              <w:top w:val="single" w:color="CCCCCC" w:sz="1"/>
              <w:left w:val="single" w:color="CCCCCC" w:sz="1"/>
              <w:bottom w:val="single" w:color="CCCCCC" w:sz="1"/>
              <w:right w:val="single" w:color="CCCCCC" w:sz="1"/>
            </w:tcBorders>
            <w:shd w:fill="DBEAFE" w:val="clear"/>
            <w:tcMar>
              <w:top w:type="dxa" w:w="80"/>
              <w:left w:type="dxa" w:w="120"/>
              <w:bottom w:type="dxa" w:w="80"/>
              <w:right w:type="dxa" w:w="120"/>
            </w:tcMar>
          </w:tcPr>
          <w:p>
            <w:r>
              <w:rPr>
                <w:b/>
                <w:bCs/>
                <w:sz w:val="20"/>
                <w:szCs w:val="20"/>
              </w:rPr>
              <w:t xml:space="preserve">Papers / Components</w:t>
            </w:r>
          </w:p>
        </w:tc>
        <w:tc>
          <w:tcPr>
            <w:tcW w:type="dxa" w:w="3120"/>
            <w:tcBorders>
              <w:top w:val="single" w:color="CCCCCC" w:sz="1"/>
              <w:left w:val="single" w:color="CCCCCC" w:sz="1"/>
              <w:bottom w:val="single" w:color="CCCCCC" w:sz="1"/>
              <w:right w:val="single" w:color="CCCCCC" w:sz="1"/>
            </w:tcBorders>
            <w:shd w:fill="DBEAFE" w:val="clear"/>
            <w:tcMar>
              <w:top w:type="dxa" w:w="80"/>
              <w:left w:type="dxa" w:w="120"/>
              <w:bottom w:type="dxa" w:w="80"/>
              <w:right w:type="dxa" w:w="120"/>
            </w:tcMar>
          </w:tcPr>
          <w:p>
            <w:r>
              <w:rPr>
                <w:b/>
                <w:bCs/>
                <w:sz w:val="20"/>
                <w:szCs w:val="20"/>
              </w:rPr>
              <w:t xml:space="preserve">Maximum Marks</w:t>
            </w:r>
          </w:p>
        </w:tc>
      </w:tr>
      <w:tr>
        <w:tc>
          <w:tcPr>
            <w:tcW w:type="dxa" w:w="3120"/>
            <w:tcBorders>
              <w:top w:val="single" w:color="CCCCCC" w:sz="1"/>
              <w:left w:val="single" w:color="CCCCCC" w:sz="1"/>
              <w:bottom w:val="single" w:color="CCCCCC" w:sz="1"/>
              <w:right w:val="single" w:color="CCCCCC" w:sz="1"/>
            </w:tcBorders>
            <w:shd w:fill="F8FAFC" w:val="clear"/>
            <w:tcMar>
              <w:top w:type="dxa" w:w="80"/>
              <w:left w:type="dxa" w:w="120"/>
              <w:bottom w:type="dxa" w:w="80"/>
              <w:right w:type="dxa" w:w="120"/>
            </w:tcMar>
          </w:tcPr>
          <w:p>
            <w:r>
              <w:rPr>
                <w:b w:val="false"/>
                <w:bCs w:val="false"/>
                <w:sz w:val="20"/>
                <w:szCs w:val="20"/>
              </w:rPr>
              <w:t xml:space="preserve">Mains – General Studies</w:t>
            </w:r>
          </w:p>
        </w:tc>
        <w:tc>
          <w:tcPr>
            <w:tcW w:type="dxa" w:w="312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b w:val="false"/>
                <w:bCs w:val="false"/>
                <w:sz w:val="20"/>
                <w:szCs w:val="20"/>
              </w:rPr>
              <w:t xml:space="preserve">GS Paper I, II, III, IV (4 papers)</w:t>
            </w:r>
          </w:p>
        </w:tc>
        <w:tc>
          <w:tcPr>
            <w:tcW w:type="dxa" w:w="3120"/>
            <w:tcBorders>
              <w:top w:val="single" w:color="CCCCCC" w:sz="1"/>
              <w:left w:val="single" w:color="CCCCCC" w:sz="1"/>
              <w:bottom w:val="single" w:color="CCCCCC" w:sz="1"/>
              <w:right w:val="single" w:color="CCCCCC" w:sz="1"/>
            </w:tcBorders>
            <w:shd w:fill="F8FAFC" w:val="clear"/>
            <w:tcMar>
              <w:top w:type="dxa" w:w="80"/>
              <w:left w:type="dxa" w:w="120"/>
              <w:bottom w:type="dxa" w:w="80"/>
              <w:right w:type="dxa" w:w="120"/>
            </w:tcMar>
          </w:tcPr>
          <w:p>
            <w:r>
              <w:rPr>
                <w:b w:val="false"/>
                <w:bCs w:val="false"/>
                <w:sz w:val="20"/>
                <w:szCs w:val="20"/>
              </w:rPr>
              <w:t xml:space="preserve">1000 marks</w:t>
            </w:r>
          </w:p>
        </w:tc>
      </w:tr>
      <w:tr>
        <w:tc>
          <w:tcPr>
            <w:tcW w:type="dxa" w:w="3120"/>
            <w:tcBorders>
              <w:top w:val="single" w:color="CCCCCC" w:sz="1"/>
              <w:left w:val="single" w:color="CCCCCC" w:sz="1"/>
              <w:bottom w:val="single" w:color="CCCCCC" w:sz="1"/>
              <w:right w:val="single" w:color="CCCCCC" w:sz="1"/>
            </w:tcBorders>
            <w:shd w:fill="F8FAFC" w:val="clear"/>
            <w:tcMar>
              <w:top w:type="dxa" w:w="80"/>
              <w:left w:type="dxa" w:w="120"/>
              <w:bottom w:type="dxa" w:w="80"/>
              <w:right w:type="dxa" w:w="120"/>
            </w:tcMar>
          </w:tcPr>
          <w:p>
            <w:r>
              <w:rPr>
                <w:b w:val="false"/>
                <w:bCs w:val="false"/>
                <w:sz w:val="20"/>
                <w:szCs w:val="20"/>
              </w:rPr>
              <w:t xml:space="preserve">Mains – Essay</w:t>
            </w:r>
          </w:p>
        </w:tc>
        <w:tc>
          <w:tcPr>
            <w:tcW w:type="dxa" w:w="312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b w:val="false"/>
                <w:bCs w:val="false"/>
                <w:sz w:val="20"/>
                <w:szCs w:val="20"/>
              </w:rPr>
              <w:t xml:space="preserve">Essay Paper</w:t>
            </w:r>
          </w:p>
        </w:tc>
        <w:tc>
          <w:tcPr>
            <w:tcW w:type="dxa" w:w="3120"/>
            <w:tcBorders>
              <w:top w:val="single" w:color="CCCCCC" w:sz="1"/>
              <w:left w:val="single" w:color="CCCCCC" w:sz="1"/>
              <w:bottom w:val="single" w:color="CCCCCC" w:sz="1"/>
              <w:right w:val="single" w:color="CCCCCC" w:sz="1"/>
            </w:tcBorders>
            <w:shd w:fill="F8FAFC" w:val="clear"/>
            <w:tcMar>
              <w:top w:type="dxa" w:w="80"/>
              <w:left w:type="dxa" w:w="120"/>
              <w:bottom w:type="dxa" w:w="80"/>
              <w:right w:type="dxa" w:w="120"/>
            </w:tcMar>
          </w:tcPr>
          <w:p>
            <w:r>
              <w:rPr>
                <w:b w:val="false"/>
                <w:bCs w:val="false"/>
                <w:sz w:val="20"/>
                <w:szCs w:val="20"/>
              </w:rPr>
              <w:t xml:space="preserve">250 marks</w:t>
            </w:r>
          </w:p>
        </w:tc>
      </w:tr>
      <w:tr>
        <w:tc>
          <w:tcPr>
            <w:tcW w:type="dxa" w:w="3120"/>
            <w:tcBorders>
              <w:top w:val="single" w:color="CCCCCC" w:sz="1"/>
              <w:left w:val="single" w:color="CCCCCC" w:sz="1"/>
              <w:bottom w:val="single" w:color="CCCCCC" w:sz="1"/>
              <w:right w:val="single" w:color="CCCCCC" w:sz="1"/>
            </w:tcBorders>
            <w:shd w:fill="F8FAFC" w:val="clear"/>
            <w:tcMar>
              <w:top w:type="dxa" w:w="80"/>
              <w:left w:type="dxa" w:w="120"/>
              <w:bottom w:type="dxa" w:w="80"/>
              <w:right w:type="dxa" w:w="120"/>
            </w:tcMar>
          </w:tcPr>
          <w:p>
            <w:r>
              <w:rPr>
                <w:b w:val="false"/>
                <w:bCs w:val="false"/>
                <w:sz w:val="20"/>
                <w:szCs w:val="20"/>
              </w:rPr>
              <w:t xml:space="preserve">Mains – Optional Subject</w:t>
            </w:r>
          </w:p>
        </w:tc>
        <w:tc>
          <w:tcPr>
            <w:tcW w:type="dxa" w:w="312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b w:val="false"/>
                <w:bCs w:val="false"/>
                <w:sz w:val="20"/>
                <w:szCs w:val="20"/>
              </w:rPr>
              <w:t xml:space="preserve">Optional Paper I &amp; II</w:t>
            </w:r>
          </w:p>
        </w:tc>
        <w:tc>
          <w:tcPr>
            <w:tcW w:type="dxa" w:w="3120"/>
            <w:tcBorders>
              <w:top w:val="single" w:color="CCCCCC" w:sz="1"/>
              <w:left w:val="single" w:color="CCCCCC" w:sz="1"/>
              <w:bottom w:val="single" w:color="CCCCCC" w:sz="1"/>
              <w:right w:val="single" w:color="CCCCCC" w:sz="1"/>
            </w:tcBorders>
            <w:shd w:fill="F8FAFC" w:val="clear"/>
            <w:tcMar>
              <w:top w:type="dxa" w:w="80"/>
              <w:left w:type="dxa" w:w="120"/>
              <w:bottom w:type="dxa" w:w="80"/>
              <w:right w:type="dxa" w:w="120"/>
            </w:tcMar>
          </w:tcPr>
          <w:p>
            <w:r>
              <w:rPr>
                <w:b w:val="false"/>
                <w:bCs w:val="false"/>
                <w:sz w:val="20"/>
                <w:szCs w:val="20"/>
              </w:rPr>
              <w:t xml:space="preserve">500 marks</w:t>
            </w:r>
          </w:p>
        </w:tc>
      </w:tr>
      <w:tr>
        <w:tc>
          <w:tcPr>
            <w:tcW w:type="dxa" w:w="3120"/>
            <w:tcBorders>
              <w:top w:val="single" w:color="CCCCCC" w:sz="1"/>
              <w:left w:val="single" w:color="CCCCCC" w:sz="1"/>
              <w:bottom w:val="single" w:color="CCCCCC" w:sz="1"/>
              <w:right w:val="single" w:color="CCCCCC" w:sz="1"/>
            </w:tcBorders>
            <w:shd w:fill="F8FAFC" w:val="clear"/>
            <w:tcMar>
              <w:top w:type="dxa" w:w="80"/>
              <w:left w:type="dxa" w:w="120"/>
              <w:bottom w:type="dxa" w:w="80"/>
              <w:right w:type="dxa" w:w="120"/>
            </w:tcMar>
          </w:tcPr>
          <w:p>
            <w:r>
              <w:rPr>
                <w:b w:val="false"/>
                <w:bCs w:val="false"/>
                <w:sz w:val="20"/>
                <w:szCs w:val="20"/>
              </w:rPr>
              <w:t xml:space="preserve">Personality Test (Interview)</w:t>
            </w:r>
          </w:p>
        </w:tc>
        <w:tc>
          <w:tcPr>
            <w:tcW w:type="dxa" w:w="312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b w:val="false"/>
                <w:bCs w:val="false"/>
                <w:sz w:val="20"/>
                <w:szCs w:val="20"/>
              </w:rPr>
              <w:t xml:space="preserve">Interview Board Assessment</w:t>
            </w:r>
          </w:p>
        </w:tc>
        <w:tc>
          <w:tcPr>
            <w:tcW w:type="dxa" w:w="3120"/>
            <w:tcBorders>
              <w:top w:val="single" w:color="CCCCCC" w:sz="1"/>
              <w:left w:val="single" w:color="CCCCCC" w:sz="1"/>
              <w:bottom w:val="single" w:color="CCCCCC" w:sz="1"/>
              <w:right w:val="single" w:color="CCCCCC" w:sz="1"/>
            </w:tcBorders>
            <w:shd w:fill="F8FAFC" w:val="clear"/>
            <w:tcMar>
              <w:top w:type="dxa" w:w="80"/>
              <w:left w:type="dxa" w:w="120"/>
              <w:bottom w:type="dxa" w:w="80"/>
              <w:right w:type="dxa" w:w="120"/>
            </w:tcMar>
          </w:tcPr>
          <w:p>
            <w:r>
              <w:rPr>
                <w:b w:val="false"/>
                <w:bCs w:val="false"/>
                <w:sz w:val="20"/>
                <w:szCs w:val="20"/>
              </w:rPr>
              <w:t xml:space="preserve">275 marks</w:t>
            </w:r>
          </w:p>
        </w:tc>
      </w:tr>
      <w:tr>
        <w:tc>
          <w:tcPr>
            <w:tcW w:type="dxa" w:w="3120"/>
            <w:tcBorders>
              <w:top w:val="single" w:color="CCCCCC" w:sz="1"/>
              <w:left w:val="single" w:color="CCCCCC" w:sz="1"/>
              <w:bottom w:val="single" w:color="CCCCCC" w:sz="1"/>
              <w:right w:val="single" w:color="CCCCCC" w:sz="1"/>
            </w:tcBorders>
            <w:shd w:fill="F8FAFC" w:val="clear"/>
            <w:tcMar>
              <w:top w:type="dxa" w:w="80"/>
              <w:left w:type="dxa" w:w="120"/>
              <w:bottom w:type="dxa" w:w="80"/>
              <w:right w:type="dxa" w:w="120"/>
            </w:tcMar>
          </w:tcPr>
          <w:p>
            <w:r>
              <w:rPr>
                <w:b w:val="false"/>
                <w:bCs w:val="false"/>
                <w:sz w:val="20"/>
                <w:szCs w:val="20"/>
              </w:rPr>
              <w:t xml:space="preserve">Grand Total (Merit)</w:t>
            </w:r>
          </w:p>
        </w:tc>
        <w:tc>
          <w:tcPr>
            <w:tcW w:type="dxa" w:w="312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b w:val="false"/>
                <w:bCs w:val="false"/>
                <w:sz w:val="20"/>
                <w:szCs w:val="20"/>
              </w:rPr>
              <w:t xml:space="preserve">Mains + Interview</w:t>
            </w:r>
          </w:p>
        </w:tc>
        <w:tc>
          <w:tcPr>
            <w:tcW w:type="dxa" w:w="3120"/>
            <w:tcBorders>
              <w:top w:val="single" w:color="CCCCCC" w:sz="1"/>
              <w:left w:val="single" w:color="CCCCCC" w:sz="1"/>
              <w:bottom w:val="single" w:color="CCCCCC" w:sz="1"/>
              <w:right w:val="single" w:color="CCCCCC" w:sz="1"/>
            </w:tcBorders>
            <w:shd w:fill="F8FAFC" w:val="clear"/>
            <w:tcMar>
              <w:top w:type="dxa" w:w="80"/>
              <w:left w:type="dxa" w:w="120"/>
              <w:bottom w:type="dxa" w:w="80"/>
              <w:right w:type="dxa" w:w="120"/>
            </w:tcMar>
          </w:tcPr>
          <w:p>
            <w:r>
              <w:rPr>
                <w:b w:val="false"/>
                <w:bCs w:val="false"/>
                <w:sz w:val="20"/>
                <w:szCs w:val="20"/>
              </w:rPr>
              <w:t xml:space="preserve">2025 marks</w:t>
            </w:r>
          </w:p>
        </w:tc>
      </w:tr>
    </w:tbl>
    <w:p>
      <w:pPr>
        <w:spacing w:before="100" w:after="160"/>
      </w:pPr>
      <w:r>
        <w:rPr>
          <w:sz w:val="22"/>
          <w:szCs w:val="22"/>
        </w:rPr>
        <w:t xml:space="preserve">Note: Two qualifying papers (one Indian language + English) are </w:t>
      </w:r>
      <w:r>
        <w:rPr>
          <w:b/>
          <w:bCs/>
          <w:sz w:val="22"/>
          <w:szCs w:val="22"/>
        </w:rPr>
        <w:t xml:space="preserve">not counted</w:t>
      </w:r>
      <w:r>
        <w:rPr>
          <w:sz w:val="22"/>
          <w:szCs w:val="22"/>
        </w:rPr>
        <w:t xml:space="preserve"> in the final merit score. They are pass/fail only. The total merit score is calculated out of </w:t>
      </w:r>
      <w:r>
        <w:rPr>
          <w:b/>
          <w:bCs/>
          <w:sz w:val="22"/>
          <w:szCs w:val="22"/>
        </w:rPr>
        <w:t xml:space="preserve">2025 marks</w:t>
      </w:r>
    </w:p>
    <w:p>
      <w:pPr>
        <w:pStyle w:val="Heading2"/>
        <w:spacing w:before="240" w:after="120"/>
      </w:pPr>
      <w:r>
        <w:rPr>
          <w:b/>
          <w:bCs/>
        </w:rPr>
        <w:t xml:space="preserve">UPSC Topper 2025 — Anuj Agnihotri (AIR 1)</w:t>
      </w:r>
    </w:p>
    <w:p>
      <w:pPr>
        <w:spacing w:before="100" w:after="160"/>
      </w:pPr>
      <w:r>
        <w:rPr>
          <w:b/>
          <w:bCs/>
          <w:sz w:val="22"/>
          <w:szCs w:val="22"/>
        </w:rPr>
        <w:t xml:space="preserve">Anuj Agnihotri</w:t>
      </w:r>
      <w:r>
        <w:rPr>
          <w:sz w:val="22"/>
          <w:szCs w:val="22"/>
        </w:rPr>
        <w:t xml:space="preserve"> secured </w:t>
      </w:r>
      <w:r>
        <w:rPr>
          <w:b/>
          <w:bCs/>
          <w:sz w:val="22"/>
          <w:szCs w:val="22"/>
        </w:rPr>
        <w:t xml:space="preserve">All India Rank 1</w:t>
      </w:r>
      <w:r>
        <w:rPr>
          <w:sz w:val="22"/>
          <w:szCs w:val="22"/>
        </w:rPr>
        <w:t xml:space="preserve"> in the UPSC Civil Services Examination 2025. The detailed topper marksheet will be released along with the general marksheet in mid-March 2026.</w:t>
      </w:r>
    </w:p>
    <w:p>
      <w:pPr>
        <w:spacing w:before="100" w:after="160"/>
      </w:pPr>
      <w:r>
        <w:rPr>
          <w:sz w:val="22"/>
          <w:szCs w:val="22"/>
        </w:rPr>
        <w:t xml:space="preserve">For reference, here is how the top performers of UPSC CSE 2024 scored — giving you a realistic benchmark for 2025:</w:t>
      </w:r>
    </w:p>
    <w:p>
      <w:pPr>
        <w:spacing w:before="140" w:after="80"/>
      </w:pPr>
      <w:r>
        <w:rPr>
          <w:b/>
          <w:bCs/>
          <w:color w:val="1E3A8A"/>
          <w:sz w:val="22"/>
          <w:szCs w:val="22"/>
        </w:rPr>
        <w:t xml:space="preserve">UPSC CSE 2024 Topper Marks (For Reference Benchmark)</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340"/>
        <w:gridCol w:w="2340"/>
        <w:gridCol w:w="2340"/>
        <w:gridCol w:w="2340"/>
      </w:tblGrid>
      <w:tr>
        <w:tc>
          <w:tcPr>
            <w:tcW w:type="dxa" w:w="2340"/>
            <w:tcBorders>
              <w:top w:val="single" w:color="CCCCCC" w:sz="1"/>
              <w:left w:val="single" w:color="CCCCCC" w:sz="1"/>
              <w:bottom w:val="single" w:color="CCCCCC" w:sz="1"/>
              <w:right w:val="single" w:color="CCCCCC" w:sz="1"/>
            </w:tcBorders>
            <w:shd w:fill="DBEAFE" w:val="clear"/>
            <w:tcMar>
              <w:top w:type="dxa" w:w="80"/>
              <w:left w:type="dxa" w:w="120"/>
              <w:bottom w:type="dxa" w:w="80"/>
              <w:right w:type="dxa" w:w="120"/>
            </w:tcMar>
          </w:tcPr>
          <w:p>
            <w:r>
              <w:rPr>
                <w:b/>
                <w:bCs/>
                <w:sz w:val="20"/>
                <w:szCs w:val="20"/>
              </w:rPr>
              <w:t xml:space="preserve">Candidate</w:t>
            </w:r>
          </w:p>
        </w:tc>
        <w:tc>
          <w:tcPr>
            <w:tcW w:type="dxa" w:w="2340"/>
            <w:tcBorders>
              <w:top w:val="single" w:color="CCCCCC" w:sz="1"/>
              <w:left w:val="single" w:color="CCCCCC" w:sz="1"/>
              <w:bottom w:val="single" w:color="CCCCCC" w:sz="1"/>
              <w:right w:val="single" w:color="CCCCCC" w:sz="1"/>
            </w:tcBorders>
            <w:shd w:fill="DBEAFE" w:val="clear"/>
            <w:tcMar>
              <w:top w:type="dxa" w:w="80"/>
              <w:left w:type="dxa" w:w="120"/>
              <w:bottom w:type="dxa" w:w="80"/>
              <w:right w:type="dxa" w:w="120"/>
            </w:tcMar>
          </w:tcPr>
          <w:p>
            <w:r>
              <w:rPr>
                <w:b/>
                <w:bCs/>
                <w:sz w:val="20"/>
                <w:szCs w:val="20"/>
              </w:rPr>
              <w:t xml:space="preserve">AIR</w:t>
            </w:r>
          </w:p>
        </w:tc>
        <w:tc>
          <w:tcPr>
            <w:tcW w:type="dxa" w:w="2340"/>
            <w:tcBorders>
              <w:top w:val="single" w:color="CCCCCC" w:sz="1"/>
              <w:left w:val="single" w:color="CCCCCC" w:sz="1"/>
              <w:bottom w:val="single" w:color="CCCCCC" w:sz="1"/>
              <w:right w:val="single" w:color="CCCCCC" w:sz="1"/>
            </w:tcBorders>
            <w:shd w:fill="DBEAFE" w:val="clear"/>
            <w:tcMar>
              <w:top w:type="dxa" w:w="80"/>
              <w:left w:type="dxa" w:w="120"/>
              <w:bottom w:type="dxa" w:w="80"/>
              <w:right w:type="dxa" w:w="120"/>
            </w:tcMar>
          </w:tcPr>
          <w:p>
            <w:r>
              <w:rPr>
                <w:b/>
                <w:bCs/>
                <w:sz w:val="20"/>
                <w:szCs w:val="20"/>
              </w:rPr>
              <w:t xml:space="preserve">Mains Score</w:t>
            </w:r>
          </w:p>
        </w:tc>
        <w:tc>
          <w:tcPr>
            <w:tcW w:type="dxa" w:w="2340"/>
            <w:tcBorders>
              <w:top w:val="single" w:color="CCCCCC" w:sz="1"/>
              <w:left w:val="single" w:color="CCCCCC" w:sz="1"/>
              <w:bottom w:val="single" w:color="CCCCCC" w:sz="1"/>
              <w:right w:val="single" w:color="CCCCCC" w:sz="1"/>
            </w:tcBorders>
            <w:shd w:fill="DBEAFE" w:val="clear"/>
            <w:tcMar>
              <w:top w:type="dxa" w:w="80"/>
              <w:left w:type="dxa" w:w="120"/>
              <w:bottom w:type="dxa" w:w="80"/>
              <w:right w:type="dxa" w:w="120"/>
            </w:tcMar>
          </w:tcPr>
          <w:p>
            <w:r>
              <w:rPr>
                <w:b/>
                <w:bCs/>
                <w:sz w:val="20"/>
                <w:szCs w:val="20"/>
              </w:rPr>
              <w:t xml:space="preserve">Interview Score</w:t>
            </w:r>
          </w:p>
        </w:tc>
      </w:tr>
      <w:tr>
        <w:tc>
          <w:tcPr>
            <w:tcW w:type="dxa" w:w="2340"/>
            <w:tcBorders>
              <w:top w:val="single" w:color="CCCCCC" w:sz="1"/>
              <w:left w:val="single" w:color="CCCCCC" w:sz="1"/>
              <w:bottom w:val="single" w:color="CCCCCC" w:sz="1"/>
              <w:right w:val="single" w:color="CCCCCC" w:sz="1"/>
            </w:tcBorders>
            <w:shd w:fill="F8FAFC" w:val="clear"/>
            <w:tcMar>
              <w:top w:type="dxa" w:w="80"/>
              <w:left w:type="dxa" w:w="120"/>
              <w:bottom w:type="dxa" w:w="80"/>
              <w:right w:type="dxa" w:w="120"/>
            </w:tcMar>
          </w:tcPr>
          <w:p>
            <w:r>
              <w:rPr>
                <w:b w:val="false"/>
                <w:bCs w:val="false"/>
                <w:sz w:val="20"/>
                <w:szCs w:val="20"/>
              </w:rPr>
              <w:t xml:space="preserve">Shakti Dubey</w:t>
            </w:r>
          </w:p>
        </w:tc>
        <w:tc>
          <w:tcPr>
            <w:tcW w:type="dxa" w:w="234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b w:val="false"/>
                <w:bCs w:val="false"/>
                <w:sz w:val="20"/>
                <w:szCs w:val="20"/>
              </w:rPr>
              <w:t xml:space="preserve">AIR 1 (2024)</w:t>
            </w:r>
          </w:p>
        </w:tc>
        <w:tc>
          <w:tcPr>
            <w:tcW w:type="dxa" w:w="2340"/>
            <w:tcBorders>
              <w:top w:val="single" w:color="CCCCCC" w:sz="1"/>
              <w:left w:val="single" w:color="CCCCCC" w:sz="1"/>
              <w:bottom w:val="single" w:color="CCCCCC" w:sz="1"/>
              <w:right w:val="single" w:color="CCCCCC" w:sz="1"/>
            </w:tcBorders>
            <w:shd w:fill="F8FAFC" w:val="clear"/>
            <w:tcMar>
              <w:top w:type="dxa" w:w="80"/>
              <w:left w:type="dxa" w:w="120"/>
              <w:bottom w:type="dxa" w:w="80"/>
              <w:right w:type="dxa" w:w="120"/>
            </w:tcMar>
          </w:tcPr>
          <w:p>
            <w:r>
              <w:rPr>
                <w:b w:val="false"/>
                <w:bCs w:val="false"/>
                <w:sz w:val="20"/>
                <w:szCs w:val="20"/>
              </w:rPr>
              <w:t xml:space="preserve">843 / 1750</w:t>
            </w:r>
          </w:p>
        </w:tc>
        <w:tc>
          <w:tcPr>
            <w:tcW w:type="dxa" w:w="234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b w:val="false"/>
                <w:bCs w:val="false"/>
                <w:sz w:val="20"/>
                <w:szCs w:val="20"/>
              </w:rPr>
              <w:t xml:space="preserve">200 / 275</w:t>
            </w:r>
          </w:p>
        </w:tc>
      </w:tr>
      <w:tr>
        <w:tc>
          <w:tcPr>
            <w:tcW w:type="dxa" w:w="2340"/>
            <w:tcBorders>
              <w:top w:val="single" w:color="CCCCCC" w:sz="1"/>
              <w:left w:val="single" w:color="CCCCCC" w:sz="1"/>
              <w:bottom w:val="single" w:color="CCCCCC" w:sz="1"/>
              <w:right w:val="single" w:color="CCCCCC" w:sz="1"/>
            </w:tcBorders>
            <w:shd w:fill="F8FAFC" w:val="clear"/>
            <w:tcMar>
              <w:top w:type="dxa" w:w="80"/>
              <w:left w:type="dxa" w:w="120"/>
              <w:bottom w:type="dxa" w:w="80"/>
              <w:right w:type="dxa" w:w="120"/>
            </w:tcMar>
          </w:tcPr>
          <w:p>
            <w:r>
              <w:rPr>
                <w:b w:val="false"/>
                <w:bCs w:val="false"/>
                <w:sz w:val="20"/>
                <w:szCs w:val="20"/>
              </w:rPr>
              <w:t xml:space="preserve">Hemant (Highest Mains)</w:t>
            </w:r>
          </w:p>
        </w:tc>
        <w:tc>
          <w:tcPr>
            <w:tcW w:type="dxa" w:w="234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b w:val="false"/>
                <w:bCs w:val="false"/>
                <w:sz w:val="20"/>
                <w:szCs w:val="20"/>
              </w:rPr>
              <w:t xml:space="preserve">Top 10</w:t>
            </w:r>
          </w:p>
        </w:tc>
        <w:tc>
          <w:tcPr>
            <w:tcW w:type="dxa" w:w="2340"/>
            <w:tcBorders>
              <w:top w:val="single" w:color="CCCCCC" w:sz="1"/>
              <w:left w:val="single" w:color="CCCCCC" w:sz="1"/>
              <w:bottom w:val="single" w:color="CCCCCC" w:sz="1"/>
              <w:right w:val="single" w:color="CCCCCC" w:sz="1"/>
            </w:tcBorders>
            <w:shd w:fill="F8FAFC" w:val="clear"/>
            <w:tcMar>
              <w:top w:type="dxa" w:w="80"/>
              <w:left w:type="dxa" w:w="120"/>
              <w:bottom w:type="dxa" w:w="80"/>
              <w:right w:type="dxa" w:w="120"/>
            </w:tcMar>
          </w:tcPr>
          <w:p>
            <w:r>
              <w:rPr>
                <w:b w:val="false"/>
                <w:bCs w:val="false"/>
                <w:sz w:val="20"/>
                <w:szCs w:val="20"/>
              </w:rPr>
              <w:t xml:space="preserve">863 / 1750</w:t>
            </w:r>
          </w:p>
        </w:tc>
        <w:tc>
          <w:tcPr>
            <w:tcW w:type="dxa" w:w="234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b w:val="false"/>
                <w:bCs w:val="false"/>
                <w:sz w:val="20"/>
                <w:szCs w:val="20"/>
              </w:rPr>
              <w:t xml:space="preserve">—</w:t>
            </w:r>
          </w:p>
        </w:tc>
      </w:tr>
      <w:tr>
        <w:tc>
          <w:tcPr>
            <w:tcW w:type="dxa" w:w="2340"/>
            <w:tcBorders>
              <w:top w:val="single" w:color="CCCCCC" w:sz="1"/>
              <w:left w:val="single" w:color="CCCCCC" w:sz="1"/>
              <w:bottom w:val="single" w:color="CCCCCC" w:sz="1"/>
              <w:right w:val="single" w:color="CCCCCC" w:sz="1"/>
            </w:tcBorders>
            <w:shd w:fill="F8FAFC" w:val="clear"/>
            <w:tcMar>
              <w:top w:type="dxa" w:w="80"/>
              <w:left w:type="dxa" w:w="120"/>
              <w:bottom w:type="dxa" w:w="80"/>
              <w:right w:type="dxa" w:w="120"/>
            </w:tcMar>
          </w:tcPr>
          <w:p>
            <w:r>
              <w:rPr>
                <w:b w:val="false"/>
                <w:bCs w:val="false"/>
                <w:sz w:val="20"/>
                <w:szCs w:val="20"/>
              </w:rPr>
              <w:t xml:space="preserve">Aarushi Sharma (Highest Interview)</w:t>
            </w:r>
          </w:p>
        </w:tc>
        <w:tc>
          <w:tcPr>
            <w:tcW w:type="dxa" w:w="234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b w:val="false"/>
                <w:bCs w:val="false"/>
                <w:sz w:val="20"/>
                <w:szCs w:val="20"/>
              </w:rPr>
              <w:t xml:space="preserve">Top 10</w:t>
            </w:r>
          </w:p>
        </w:tc>
        <w:tc>
          <w:tcPr>
            <w:tcW w:type="dxa" w:w="2340"/>
            <w:tcBorders>
              <w:top w:val="single" w:color="CCCCCC" w:sz="1"/>
              <w:left w:val="single" w:color="CCCCCC" w:sz="1"/>
              <w:bottom w:val="single" w:color="CCCCCC" w:sz="1"/>
              <w:right w:val="single" w:color="CCCCCC" w:sz="1"/>
            </w:tcBorders>
            <w:shd w:fill="F8FAFC" w:val="clear"/>
            <w:tcMar>
              <w:top w:type="dxa" w:w="80"/>
              <w:left w:type="dxa" w:w="120"/>
              <w:bottom w:type="dxa" w:w="80"/>
              <w:right w:type="dxa" w:w="120"/>
            </w:tcMar>
          </w:tcPr>
          <w:p>
            <w:r>
              <w:rPr>
                <w:b w:val="false"/>
                <w:bCs w:val="false"/>
                <w:sz w:val="20"/>
                <w:szCs w:val="20"/>
              </w:rPr>
              <w:t xml:space="preserve">—</w:t>
            </w:r>
          </w:p>
        </w:tc>
        <w:tc>
          <w:tcPr>
            <w:tcW w:type="dxa" w:w="234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b w:val="false"/>
                <w:bCs w:val="false"/>
                <w:sz w:val="20"/>
                <w:szCs w:val="20"/>
              </w:rPr>
              <w:t xml:space="preserve">216 / 275</w:t>
            </w:r>
          </w:p>
        </w:tc>
      </w:tr>
    </w:tbl>
    <w:p>
      <w:pPr>
        <w:spacing w:before="80" w:after="160"/>
      </w:pPr>
      <w:r>
        <w:rPr>
          <w:i/>
          <w:iCs/>
          <w:color w:val="6B7280"/>
          <w:sz w:val="18"/>
          <w:szCs w:val="18"/>
        </w:rPr>
        <w:t xml:space="preserve">Source: UPSC Official Marksheet 2025 (CSE 2024 data), studyiq.com</w:t>
      </w:r>
    </w:p>
    <w:p>
      <w:pPr>
        <w:pStyle w:val="Heading2"/>
        <w:spacing w:before="240" w:after="120"/>
      </w:pPr>
      <w:r>
        <w:rPr>
          <w:b/>
          <w:bCs/>
        </w:rPr>
        <w:t xml:space="preserve">Category-Wise Recommended Candidates — UPSC 2025</w:t>
      </w:r>
    </w:p>
    <w:p>
      <w:pPr>
        <w:spacing w:before="100" w:after="160"/>
      </w:pPr>
      <w:r>
        <w:rPr>
          <w:sz w:val="22"/>
          <w:szCs w:val="22"/>
        </w:rPr>
        <w:t xml:space="preserve">UPSC recommended a total of </w:t>
      </w:r>
      <w:r>
        <w:rPr>
          <w:b/>
          <w:bCs/>
          <w:sz w:val="22"/>
          <w:szCs w:val="22"/>
        </w:rPr>
        <w:t xml:space="preserve">958 candidates</w:t>
      </w:r>
      <w:r>
        <w:rPr>
          <w:sz w:val="22"/>
          <w:szCs w:val="22"/>
        </w:rPr>
        <w:t xml:space="preserve"> in the Civil Services Examination 2025. Here is the category-wise breakdown from the official result:</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680"/>
        <w:gridCol w:w="4680"/>
      </w:tblGrid>
      <w:tr>
        <w:tc>
          <w:tcPr>
            <w:tcW w:type="dxa" w:w="4680"/>
            <w:tcBorders>
              <w:top w:val="single" w:color="CCCCCC" w:sz="1"/>
              <w:left w:val="single" w:color="CCCCCC" w:sz="1"/>
              <w:bottom w:val="single" w:color="CCCCCC" w:sz="1"/>
              <w:right w:val="single" w:color="CCCCCC" w:sz="1"/>
            </w:tcBorders>
            <w:shd w:fill="DBEAFE" w:val="clear"/>
            <w:tcMar>
              <w:top w:type="dxa" w:w="80"/>
              <w:left w:type="dxa" w:w="120"/>
              <w:bottom w:type="dxa" w:w="80"/>
              <w:right w:type="dxa" w:w="120"/>
            </w:tcMar>
          </w:tcPr>
          <w:p>
            <w:r>
              <w:rPr>
                <w:b/>
                <w:bCs/>
                <w:sz w:val="20"/>
                <w:szCs w:val="20"/>
              </w:rPr>
              <w:t xml:space="preserve">Category</w:t>
            </w:r>
          </w:p>
        </w:tc>
        <w:tc>
          <w:tcPr>
            <w:tcW w:type="dxa" w:w="4680"/>
            <w:tcBorders>
              <w:top w:val="single" w:color="CCCCCC" w:sz="1"/>
              <w:left w:val="single" w:color="CCCCCC" w:sz="1"/>
              <w:bottom w:val="single" w:color="CCCCCC" w:sz="1"/>
              <w:right w:val="single" w:color="CCCCCC" w:sz="1"/>
            </w:tcBorders>
            <w:shd w:fill="DBEAFE" w:val="clear"/>
            <w:tcMar>
              <w:top w:type="dxa" w:w="80"/>
              <w:left w:type="dxa" w:w="120"/>
              <w:bottom w:type="dxa" w:w="80"/>
              <w:right w:type="dxa" w:w="120"/>
            </w:tcMar>
          </w:tcPr>
          <w:p>
            <w:r>
              <w:rPr>
                <w:b/>
                <w:bCs/>
                <w:sz w:val="20"/>
                <w:szCs w:val="20"/>
              </w:rPr>
              <w:t xml:space="preserve">Candidates Recommended</w:t>
            </w:r>
          </w:p>
        </w:tc>
      </w:tr>
      <w:tr>
        <w:tc>
          <w:tcPr>
            <w:tcW w:type="dxa" w:w="4680"/>
            <w:tcBorders>
              <w:top w:val="single" w:color="CCCCCC" w:sz="1"/>
              <w:left w:val="single" w:color="CCCCCC" w:sz="1"/>
              <w:bottom w:val="single" w:color="CCCCCC" w:sz="1"/>
              <w:right w:val="single" w:color="CCCCCC" w:sz="1"/>
            </w:tcBorders>
            <w:shd w:fill="F8FAFC" w:val="clear"/>
            <w:tcMar>
              <w:top w:type="dxa" w:w="80"/>
              <w:left w:type="dxa" w:w="120"/>
              <w:bottom w:type="dxa" w:w="80"/>
              <w:right w:type="dxa" w:w="120"/>
            </w:tcMar>
          </w:tcPr>
          <w:p>
            <w:r>
              <w:rPr>
                <w:b w:val="false"/>
                <w:bCs w:val="false"/>
                <w:sz w:val="20"/>
                <w:szCs w:val="20"/>
              </w:rPr>
              <w:t xml:space="preserve">Unreserved (UR)</w:t>
            </w:r>
          </w:p>
        </w:tc>
        <w:tc>
          <w:tcPr>
            <w:tcW w:type="dxa" w:w="468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b w:val="false"/>
                <w:bCs w:val="false"/>
                <w:sz w:val="20"/>
                <w:szCs w:val="20"/>
              </w:rPr>
              <w:t xml:space="preserve">317</w:t>
            </w:r>
          </w:p>
        </w:tc>
      </w:tr>
      <w:tr>
        <w:tc>
          <w:tcPr>
            <w:tcW w:type="dxa" w:w="4680"/>
            <w:tcBorders>
              <w:top w:val="single" w:color="CCCCCC" w:sz="1"/>
              <w:left w:val="single" w:color="CCCCCC" w:sz="1"/>
              <w:bottom w:val="single" w:color="CCCCCC" w:sz="1"/>
              <w:right w:val="single" w:color="CCCCCC" w:sz="1"/>
            </w:tcBorders>
            <w:shd w:fill="F8FAFC" w:val="clear"/>
            <w:tcMar>
              <w:top w:type="dxa" w:w="80"/>
              <w:left w:type="dxa" w:w="120"/>
              <w:bottom w:type="dxa" w:w="80"/>
              <w:right w:type="dxa" w:w="120"/>
            </w:tcMar>
          </w:tcPr>
          <w:p>
            <w:r>
              <w:rPr>
                <w:b w:val="false"/>
                <w:bCs w:val="false"/>
                <w:sz w:val="20"/>
                <w:szCs w:val="20"/>
              </w:rPr>
              <w:t xml:space="preserve">Economically Weaker Section (EWS)</w:t>
            </w:r>
          </w:p>
        </w:tc>
        <w:tc>
          <w:tcPr>
            <w:tcW w:type="dxa" w:w="468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b w:val="false"/>
                <w:bCs w:val="false"/>
                <w:sz w:val="20"/>
                <w:szCs w:val="20"/>
              </w:rPr>
              <w:t xml:space="preserve">104</w:t>
            </w:r>
          </w:p>
        </w:tc>
      </w:tr>
      <w:tr>
        <w:tc>
          <w:tcPr>
            <w:tcW w:type="dxa" w:w="4680"/>
            <w:tcBorders>
              <w:top w:val="single" w:color="CCCCCC" w:sz="1"/>
              <w:left w:val="single" w:color="CCCCCC" w:sz="1"/>
              <w:bottom w:val="single" w:color="CCCCCC" w:sz="1"/>
              <w:right w:val="single" w:color="CCCCCC" w:sz="1"/>
            </w:tcBorders>
            <w:shd w:fill="F8FAFC" w:val="clear"/>
            <w:tcMar>
              <w:top w:type="dxa" w:w="80"/>
              <w:left w:type="dxa" w:w="120"/>
              <w:bottom w:type="dxa" w:w="80"/>
              <w:right w:type="dxa" w:w="120"/>
            </w:tcMar>
          </w:tcPr>
          <w:p>
            <w:r>
              <w:rPr>
                <w:b w:val="false"/>
                <w:bCs w:val="false"/>
                <w:sz w:val="20"/>
                <w:szCs w:val="20"/>
              </w:rPr>
              <w:t xml:space="preserve">Other Backward Classes (OBC)</w:t>
            </w:r>
          </w:p>
        </w:tc>
        <w:tc>
          <w:tcPr>
            <w:tcW w:type="dxa" w:w="468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b w:val="false"/>
                <w:bCs w:val="false"/>
                <w:sz w:val="20"/>
                <w:szCs w:val="20"/>
              </w:rPr>
              <w:t xml:space="preserve">Included in 958 total</w:t>
            </w:r>
          </w:p>
        </w:tc>
      </w:tr>
      <w:tr>
        <w:tc>
          <w:tcPr>
            <w:tcW w:type="dxa" w:w="4680"/>
            <w:tcBorders>
              <w:top w:val="single" w:color="CCCCCC" w:sz="1"/>
              <w:left w:val="single" w:color="CCCCCC" w:sz="1"/>
              <w:bottom w:val="single" w:color="CCCCCC" w:sz="1"/>
              <w:right w:val="single" w:color="CCCCCC" w:sz="1"/>
            </w:tcBorders>
            <w:shd w:fill="F8FAFC" w:val="clear"/>
            <w:tcMar>
              <w:top w:type="dxa" w:w="80"/>
              <w:left w:type="dxa" w:w="120"/>
              <w:bottom w:type="dxa" w:w="80"/>
              <w:right w:type="dxa" w:w="120"/>
            </w:tcMar>
          </w:tcPr>
          <w:p>
            <w:r>
              <w:rPr>
                <w:b w:val="false"/>
                <w:bCs w:val="false"/>
                <w:sz w:val="20"/>
                <w:szCs w:val="20"/>
              </w:rPr>
              <w:t xml:space="preserve">Scheduled Castes (SC)</w:t>
            </w:r>
          </w:p>
        </w:tc>
        <w:tc>
          <w:tcPr>
            <w:tcW w:type="dxa" w:w="468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b w:val="false"/>
                <w:bCs w:val="false"/>
                <w:sz w:val="20"/>
                <w:szCs w:val="20"/>
              </w:rPr>
              <w:t xml:space="preserve">Included in 958 total</w:t>
            </w:r>
          </w:p>
        </w:tc>
      </w:tr>
      <w:tr>
        <w:tc>
          <w:tcPr>
            <w:tcW w:type="dxa" w:w="4680"/>
            <w:tcBorders>
              <w:top w:val="single" w:color="CCCCCC" w:sz="1"/>
              <w:left w:val="single" w:color="CCCCCC" w:sz="1"/>
              <w:bottom w:val="single" w:color="CCCCCC" w:sz="1"/>
              <w:right w:val="single" w:color="CCCCCC" w:sz="1"/>
            </w:tcBorders>
            <w:shd w:fill="F8FAFC" w:val="clear"/>
            <w:tcMar>
              <w:top w:type="dxa" w:w="80"/>
              <w:left w:type="dxa" w:w="120"/>
              <w:bottom w:type="dxa" w:w="80"/>
              <w:right w:type="dxa" w:w="120"/>
            </w:tcMar>
          </w:tcPr>
          <w:p>
            <w:r>
              <w:rPr>
                <w:b w:val="false"/>
                <w:bCs w:val="false"/>
                <w:sz w:val="20"/>
                <w:szCs w:val="20"/>
              </w:rPr>
              <w:t xml:space="preserve">Scheduled Tribes (ST)</w:t>
            </w:r>
          </w:p>
        </w:tc>
        <w:tc>
          <w:tcPr>
            <w:tcW w:type="dxa" w:w="468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b w:val="false"/>
                <w:bCs w:val="false"/>
                <w:sz w:val="20"/>
                <w:szCs w:val="20"/>
              </w:rPr>
              <w:t xml:space="preserve">Included in 958 total</w:t>
            </w:r>
          </w:p>
        </w:tc>
      </w:tr>
      <w:tr>
        <w:tc>
          <w:tcPr>
            <w:tcW w:type="dxa" w:w="4680"/>
            <w:tcBorders>
              <w:top w:val="single" w:color="CCCCCC" w:sz="1"/>
              <w:left w:val="single" w:color="CCCCCC" w:sz="1"/>
              <w:bottom w:val="single" w:color="CCCCCC" w:sz="1"/>
              <w:right w:val="single" w:color="CCCCCC" w:sz="1"/>
            </w:tcBorders>
            <w:shd w:fill="F8FAFC" w:val="clear"/>
            <w:tcMar>
              <w:top w:type="dxa" w:w="80"/>
              <w:left w:type="dxa" w:w="120"/>
              <w:bottom w:type="dxa" w:w="80"/>
              <w:right w:type="dxa" w:w="120"/>
            </w:tcMar>
          </w:tcPr>
          <w:p>
            <w:r>
              <w:rPr>
                <w:b w:val="false"/>
                <w:bCs w:val="false"/>
                <w:sz w:val="20"/>
                <w:szCs w:val="20"/>
              </w:rPr>
              <w:t xml:space="preserve">Total Recommended</w:t>
            </w:r>
          </w:p>
        </w:tc>
        <w:tc>
          <w:tcPr>
            <w:tcW w:type="dxa" w:w="468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b w:val="false"/>
                <w:bCs w:val="false"/>
                <w:sz w:val="20"/>
                <w:szCs w:val="20"/>
              </w:rPr>
              <w:t xml:space="preserve">958</w:t>
            </w:r>
          </w:p>
        </w:tc>
      </w:tr>
    </w:tbl>
    <w:p>
      <w:pPr>
        <w:spacing w:before="80" w:after="200"/>
      </w:pPr>
      <w:r>
        <w:rPr>
          <w:i/>
          <w:iCs/>
          <w:color w:val="6B7280"/>
          <w:sz w:val="18"/>
          <w:szCs w:val="18"/>
        </w:rPr>
        <w:t xml:space="preserve">Source: upsc.gov.in / testbook.com — Official Result PDF, 6 March 2026</w:t>
      </w:r>
    </w:p>
    <w:p>
      <w:pPr>
        <w:pStyle w:val="Heading2"/>
        <w:spacing w:before="240" w:after="120"/>
      </w:pPr>
      <w:r>
        <w:rPr>
          <w:b/>
          <w:bCs/>
        </w:rPr>
        <w:t xml:space="preserve">Why Should You Analyse Your UPSC Marksheet?</w:t>
      </w:r>
    </w:p>
    <w:p>
      <w:pPr>
        <w:spacing w:before="100" w:after="160"/>
      </w:pPr>
      <w:r>
        <w:rPr>
          <w:sz w:val="22"/>
          <w:szCs w:val="22"/>
        </w:rPr>
        <w:t xml:space="preserve">Plenty of aspirants download the marksheet, give it a glance, and then quietly feel bad. That is the wrong approach. Here is how the marksheet actually helps:</w:t>
      </w:r>
    </w:p>
    <w:p>
      <w:pPr>
        <w:pStyle w:val="ListParagraph"/>
        <w:numPr>
          <w:ilvl w:val="0"/>
          <w:numId w:val="3"/>
        </w:numPr>
        <w:spacing w:before="80" w:after="80"/>
      </w:pPr>
      <w:r>
        <w:rPr>
          <w:sz w:val="22"/>
          <w:szCs w:val="22"/>
        </w:rPr>
        <w:t xml:space="preserve">Identifies paper-wise strengths and weaknesses — so you know if it was GS Paper II that let you down, not your optional.</w:t>
      </w:r>
    </w:p>
    <w:p>
      <w:pPr>
        <w:pStyle w:val="ListParagraph"/>
        <w:numPr>
          <w:ilvl w:val="0"/>
          <w:numId w:val="3"/>
        </w:numPr>
        <w:spacing w:before="80" w:after="80"/>
      </w:pPr>
      <w:r>
        <w:rPr>
          <w:sz w:val="22"/>
          <w:szCs w:val="22"/>
        </w:rPr>
        <w:t xml:space="preserve">Compares your Mains score vs Interview score — tells you if you need to sharpen your writing or your communication.</w:t>
      </w:r>
    </w:p>
    <w:p>
      <w:pPr>
        <w:pStyle w:val="ListParagraph"/>
        <w:numPr>
          <w:ilvl w:val="0"/>
          <w:numId w:val="3"/>
        </w:numPr>
        <w:spacing w:before="80" w:after="80"/>
      </w:pPr>
      <w:r>
        <w:rPr>
          <w:sz w:val="22"/>
          <w:szCs w:val="22"/>
        </w:rPr>
        <w:t xml:space="preserve">Shows how close you were to the cut-off — a 20-mark gap is very different from a 150-mark gap in terms of strategy.</w:t>
      </w:r>
    </w:p>
    <w:p>
      <w:pPr>
        <w:pStyle w:val="ListParagraph"/>
        <w:numPr>
          <w:ilvl w:val="0"/>
          <w:numId w:val="3"/>
        </w:numPr>
        <w:spacing w:before="80" w:after="80"/>
      </w:pPr>
      <w:r>
        <w:rPr>
          <w:sz w:val="22"/>
          <w:szCs w:val="22"/>
        </w:rPr>
        <w:t xml:space="preserve">Helps you benchmark against toppers — when Hemant scored 863 in Mains (2024), what was his per-paper breakdown? That is your clue.</w:t>
      </w:r>
    </w:p>
    <w:p>
      <w:pPr>
        <w:pStyle w:val="ListParagraph"/>
        <w:numPr>
          <w:ilvl w:val="0"/>
          <w:numId w:val="3"/>
        </w:numPr>
        <w:spacing w:before="80" w:after="80"/>
      </w:pPr>
      <w:r>
        <w:rPr>
          <w:sz w:val="22"/>
          <w:szCs w:val="22"/>
        </w:rPr>
        <w:t xml:space="preserve">Useful for IAS coaching institutes to give personalised guidance.</w:t>
      </w:r>
    </w:p>
    <w:p>
      <w:pPr>
        <w:spacing w:before="100" w:after="160"/>
      </w:pPr>
      <w:r>
        <w:rPr>
          <w:sz w:val="22"/>
          <w:szCs w:val="22"/>
        </w:rPr>
        <w:t xml:space="preserve">Treat your marksheet as data, not a verdict. Top rankers who cracked it on a second or third attempt almost always credit their marksheet analysis as the turning point.</w:t>
      </w:r>
    </w:p>
    <w:p>
      <w:pPr>
        <w:pStyle w:val="Heading2"/>
        <w:spacing w:before="240" w:after="120"/>
      </w:pPr>
      <w:r>
        <w:rPr>
          <w:b/>
          <w:bCs/>
        </w:rPr>
        <w:t xml:space="preserve">UPSC 2025 vs 2024 — Quick Comparison</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120"/>
        <w:gridCol w:w="3120"/>
        <w:gridCol w:w="3120"/>
      </w:tblGrid>
      <w:tr>
        <w:tc>
          <w:tcPr>
            <w:tcW w:type="dxa" w:w="3120"/>
            <w:tcBorders>
              <w:top w:val="single" w:color="CCCCCC" w:sz="1"/>
              <w:left w:val="single" w:color="CCCCCC" w:sz="1"/>
              <w:bottom w:val="single" w:color="CCCCCC" w:sz="1"/>
              <w:right w:val="single" w:color="CCCCCC" w:sz="1"/>
            </w:tcBorders>
            <w:shd w:fill="DBEAFE" w:val="clear"/>
            <w:tcMar>
              <w:top w:type="dxa" w:w="80"/>
              <w:left w:type="dxa" w:w="120"/>
              <w:bottom w:type="dxa" w:w="80"/>
              <w:right w:type="dxa" w:w="120"/>
            </w:tcMar>
          </w:tcPr>
          <w:p>
            <w:r>
              <w:rPr>
                <w:b/>
                <w:bCs/>
                <w:sz w:val="20"/>
                <w:szCs w:val="20"/>
              </w:rPr>
              <w:t xml:space="preserve">Parameter</w:t>
            </w:r>
          </w:p>
        </w:tc>
        <w:tc>
          <w:tcPr>
            <w:tcW w:type="dxa" w:w="3120"/>
            <w:tcBorders>
              <w:top w:val="single" w:color="CCCCCC" w:sz="1"/>
              <w:left w:val="single" w:color="CCCCCC" w:sz="1"/>
              <w:bottom w:val="single" w:color="CCCCCC" w:sz="1"/>
              <w:right w:val="single" w:color="CCCCCC" w:sz="1"/>
            </w:tcBorders>
            <w:shd w:fill="DBEAFE" w:val="clear"/>
            <w:tcMar>
              <w:top w:type="dxa" w:w="80"/>
              <w:left w:type="dxa" w:w="120"/>
              <w:bottom w:type="dxa" w:w="80"/>
              <w:right w:type="dxa" w:w="120"/>
            </w:tcMar>
          </w:tcPr>
          <w:p>
            <w:r>
              <w:rPr>
                <w:b/>
                <w:bCs/>
                <w:sz w:val="20"/>
                <w:szCs w:val="20"/>
              </w:rPr>
              <w:t xml:space="preserve">UPSC CSE 2024</w:t>
            </w:r>
          </w:p>
        </w:tc>
        <w:tc>
          <w:tcPr>
            <w:tcW w:type="dxa" w:w="3120"/>
            <w:tcBorders>
              <w:top w:val="single" w:color="CCCCCC" w:sz="1"/>
              <w:left w:val="single" w:color="CCCCCC" w:sz="1"/>
              <w:bottom w:val="single" w:color="CCCCCC" w:sz="1"/>
              <w:right w:val="single" w:color="CCCCCC" w:sz="1"/>
            </w:tcBorders>
            <w:shd w:fill="DBEAFE" w:val="clear"/>
            <w:tcMar>
              <w:top w:type="dxa" w:w="80"/>
              <w:left w:type="dxa" w:w="120"/>
              <w:bottom w:type="dxa" w:w="80"/>
              <w:right w:type="dxa" w:w="120"/>
            </w:tcMar>
          </w:tcPr>
          <w:p>
            <w:r>
              <w:rPr>
                <w:b/>
                <w:bCs/>
                <w:sz w:val="20"/>
                <w:szCs w:val="20"/>
              </w:rPr>
              <w:t xml:space="preserve">UPSC CSE 2025</w:t>
            </w:r>
          </w:p>
        </w:tc>
      </w:tr>
      <w:tr>
        <w:tc>
          <w:tcPr>
            <w:tcW w:type="dxa" w:w="3120"/>
            <w:tcBorders>
              <w:top w:val="single" w:color="CCCCCC" w:sz="1"/>
              <w:left w:val="single" w:color="CCCCCC" w:sz="1"/>
              <w:bottom w:val="single" w:color="CCCCCC" w:sz="1"/>
              <w:right w:val="single" w:color="CCCCCC" w:sz="1"/>
            </w:tcBorders>
            <w:shd w:fill="F8FAFC" w:val="clear"/>
            <w:tcMar>
              <w:top w:type="dxa" w:w="80"/>
              <w:left w:type="dxa" w:w="120"/>
              <w:bottom w:type="dxa" w:w="80"/>
              <w:right w:type="dxa" w:w="120"/>
            </w:tcMar>
          </w:tcPr>
          <w:p>
            <w:r>
              <w:rPr>
                <w:b w:val="false"/>
                <w:bCs w:val="false"/>
                <w:sz w:val="20"/>
                <w:szCs w:val="20"/>
              </w:rPr>
              <w:t xml:space="preserve">Final Result Date</w:t>
            </w:r>
          </w:p>
        </w:tc>
        <w:tc>
          <w:tcPr>
            <w:tcW w:type="dxa" w:w="312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b w:val="false"/>
                <w:bCs w:val="false"/>
                <w:sz w:val="20"/>
                <w:szCs w:val="20"/>
              </w:rPr>
              <w:t xml:space="preserve">22 April 2025</w:t>
            </w:r>
          </w:p>
        </w:tc>
        <w:tc>
          <w:tcPr>
            <w:tcW w:type="dxa" w:w="3120"/>
            <w:tcBorders>
              <w:top w:val="single" w:color="CCCCCC" w:sz="1"/>
              <w:left w:val="single" w:color="CCCCCC" w:sz="1"/>
              <w:bottom w:val="single" w:color="CCCCCC" w:sz="1"/>
              <w:right w:val="single" w:color="CCCCCC" w:sz="1"/>
            </w:tcBorders>
            <w:shd w:fill="F8FAFC" w:val="clear"/>
            <w:tcMar>
              <w:top w:type="dxa" w:w="80"/>
              <w:left w:type="dxa" w:w="120"/>
              <w:bottom w:type="dxa" w:w="80"/>
              <w:right w:type="dxa" w:w="120"/>
            </w:tcMar>
          </w:tcPr>
          <w:p>
            <w:r>
              <w:rPr>
                <w:b w:val="false"/>
                <w:bCs w:val="false"/>
                <w:sz w:val="20"/>
                <w:szCs w:val="20"/>
              </w:rPr>
              <w:t xml:space="preserve">6 March 2026</w:t>
            </w:r>
          </w:p>
        </w:tc>
      </w:tr>
      <w:tr>
        <w:tc>
          <w:tcPr>
            <w:tcW w:type="dxa" w:w="3120"/>
            <w:tcBorders>
              <w:top w:val="single" w:color="CCCCCC" w:sz="1"/>
              <w:left w:val="single" w:color="CCCCCC" w:sz="1"/>
              <w:bottom w:val="single" w:color="CCCCCC" w:sz="1"/>
              <w:right w:val="single" w:color="CCCCCC" w:sz="1"/>
            </w:tcBorders>
            <w:shd w:fill="F8FAFC" w:val="clear"/>
            <w:tcMar>
              <w:top w:type="dxa" w:w="80"/>
              <w:left w:type="dxa" w:w="120"/>
              <w:bottom w:type="dxa" w:w="80"/>
              <w:right w:type="dxa" w:w="120"/>
            </w:tcMar>
          </w:tcPr>
          <w:p>
            <w:r>
              <w:rPr>
                <w:b w:val="false"/>
                <w:bCs w:val="false"/>
                <w:sz w:val="20"/>
                <w:szCs w:val="20"/>
              </w:rPr>
              <w:t xml:space="preserve">AIR 1</w:t>
            </w:r>
          </w:p>
        </w:tc>
        <w:tc>
          <w:tcPr>
            <w:tcW w:type="dxa" w:w="312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b w:val="false"/>
                <w:bCs w:val="false"/>
                <w:sz w:val="20"/>
                <w:szCs w:val="20"/>
              </w:rPr>
              <w:t xml:space="preserve">Shakti Dubey</w:t>
            </w:r>
          </w:p>
        </w:tc>
        <w:tc>
          <w:tcPr>
            <w:tcW w:type="dxa" w:w="3120"/>
            <w:tcBorders>
              <w:top w:val="single" w:color="CCCCCC" w:sz="1"/>
              <w:left w:val="single" w:color="CCCCCC" w:sz="1"/>
              <w:bottom w:val="single" w:color="CCCCCC" w:sz="1"/>
              <w:right w:val="single" w:color="CCCCCC" w:sz="1"/>
            </w:tcBorders>
            <w:shd w:fill="F8FAFC" w:val="clear"/>
            <w:tcMar>
              <w:top w:type="dxa" w:w="80"/>
              <w:left w:type="dxa" w:w="120"/>
              <w:bottom w:type="dxa" w:w="80"/>
              <w:right w:type="dxa" w:w="120"/>
            </w:tcMar>
          </w:tcPr>
          <w:p>
            <w:r>
              <w:rPr>
                <w:b w:val="false"/>
                <w:bCs w:val="false"/>
                <w:sz w:val="20"/>
                <w:szCs w:val="20"/>
              </w:rPr>
              <w:t xml:space="preserve">Anuj Agnihotri</w:t>
            </w:r>
          </w:p>
        </w:tc>
      </w:tr>
      <w:tr>
        <w:tc>
          <w:tcPr>
            <w:tcW w:type="dxa" w:w="3120"/>
            <w:tcBorders>
              <w:top w:val="single" w:color="CCCCCC" w:sz="1"/>
              <w:left w:val="single" w:color="CCCCCC" w:sz="1"/>
              <w:bottom w:val="single" w:color="CCCCCC" w:sz="1"/>
              <w:right w:val="single" w:color="CCCCCC" w:sz="1"/>
            </w:tcBorders>
            <w:shd w:fill="F8FAFC" w:val="clear"/>
            <w:tcMar>
              <w:top w:type="dxa" w:w="80"/>
              <w:left w:type="dxa" w:w="120"/>
              <w:bottom w:type="dxa" w:w="80"/>
              <w:right w:type="dxa" w:w="120"/>
            </w:tcMar>
          </w:tcPr>
          <w:p>
            <w:r>
              <w:rPr>
                <w:b w:val="false"/>
                <w:bCs w:val="false"/>
                <w:sz w:val="20"/>
                <w:szCs w:val="20"/>
              </w:rPr>
              <w:t xml:space="preserve">Total Vacancies / Recommended</w:t>
            </w:r>
          </w:p>
        </w:tc>
        <w:tc>
          <w:tcPr>
            <w:tcW w:type="dxa" w:w="312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b w:val="false"/>
                <w:bCs w:val="false"/>
                <w:sz w:val="20"/>
                <w:szCs w:val="20"/>
              </w:rPr>
              <w:t xml:space="preserve">~1009</w:t>
            </w:r>
          </w:p>
        </w:tc>
        <w:tc>
          <w:tcPr>
            <w:tcW w:type="dxa" w:w="3120"/>
            <w:tcBorders>
              <w:top w:val="single" w:color="CCCCCC" w:sz="1"/>
              <w:left w:val="single" w:color="CCCCCC" w:sz="1"/>
              <w:bottom w:val="single" w:color="CCCCCC" w:sz="1"/>
              <w:right w:val="single" w:color="CCCCCC" w:sz="1"/>
            </w:tcBorders>
            <w:shd w:fill="F8FAFC" w:val="clear"/>
            <w:tcMar>
              <w:top w:type="dxa" w:w="80"/>
              <w:left w:type="dxa" w:w="120"/>
              <w:bottom w:type="dxa" w:w="80"/>
              <w:right w:type="dxa" w:w="120"/>
            </w:tcMar>
          </w:tcPr>
          <w:p>
            <w:r>
              <w:rPr>
                <w:b w:val="false"/>
                <w:bCs w:val="false"/>
                <w:sz w:val="20"/>
                <w:szCs w:val="20"/>
              </w:rPr>
              <w:t xml:space="preserve">958</w:t>
            </w:r>
          </w:p>
        </w:tc>
      </w:tr>
      <w:tr>
        <w:tc>
          <w:tcPr>
            <w:tcW w:type="dxa" w:w="3120"/>
            <w:tcBorders>
              <w:top w:val="single" w:color="CCCCCC" w:sz="1"/>
              <w:left w:val="single" w:color="CCCCCC" w:sz="1"/>
              <w:bottom w:val="single" w:color="CCCCCC" w:sz="1"/>
              <w:right w:val="single" w:color="CCCCCC" w:sz="1"/>
            </w:tcBorders>
            <w:shd w:fill="F8FAFC" w:val="clear"/>
            <w:tcMar>
              <w:top w:type="dxa" w:w="80"/>
              <w:left w:type="dxa" w:w="120"/>
              <w:bottom w:type="dxa" w:w="80"/>
              <w:right w:type="dxa" w:w="120"/>
            </w:tcMar>
          </w:tcPr>
          <w:p>
            <w:r>
              <w:rPr>
                <w:b w:val="false"/>
                <w:bCs w:val="false"/>
                <w:sz w:val="20"/>
                <w:szCs w:val="20"/>
              </w:rPr>
              <w:t xml:space="preserve">Total Marks (Mains + Interview)</w:t>
            </w:r>
          </w:p>
        </w:tc>
        <w:tc>
          <w:tcPr>
            <w:tcW w:type="dxa" w:w="312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b w:val="false"/>
                <w:bCs w:val="false"/>
                <w:sz w:val="20"/>
                <w:szCs w:val="20"/>
              </w:rPr>
              <w:t xml:space="preserve">2025</w:t>
            </w:r>
          </w:p>
        </w:tc>
        <w:tc>
          <w:tcPr>
            <w:tcW w:type="dxa" w:w="3120"/>
            <w:tcBorders>
              <w:top w:val="single" w:color="CCCCCC" w:sz="1"/>
              <w:left w:val="single" w:color="CCCCCC" w:sz="1"/>
              <w:bottom w:val="single" w:color="CCCCCC" w:sz="1"/>
              <w:right w:val="single" w:color="CCCCCC" w:sz="1"/>
            </w:tcBorders>
            <w:shd w:fill="F8FAFC" w:val="clear"/>
            <w:tcMar>
              <w:top w:type="dxa" w:w="80"/>
              <w:left w:type="dxa" w:w="120"/>
              <w:bottom w:type="dxa" w:w="80"/>
              <w:right w:type="dxa" w:w="120"/>
            </w:tcMar>
          </w:tcPr>
          <w:p>
            <w:r>
              <w:rPr>
                <w:b w:val="false"/>
                <w:bCs w:val="false"/>
                <w:sz w:val="20"/>
                <w:szCs w:val="20"/>
              </w:rPr>
              <w:t xml:space="preserve">2025</w:t>
            </w:r>
          </w:p>
        </w:tc>
      </w:tr>
      <w:tr>
        <w:tc>
          <w:tcPr>
            <w:tcW w:type="dxa" w:w="3120"/>
            <w:tcBorders>
              <w:top w:val="single" w:color="CCCCCC" w:sz="1"/>
              <w:left w:val="single" w:color="CCCCCC" w:sz="1"/>
              <w:bottom w:val="single" w:color="CCCCCC" w:sz="1"/>
              <w:right w:val="single" w:color="CCCCCC" w:sz="1"/>
            </w:tcBorders>
            <w:shd w:fill="F8FAFC" w:val="clear"/>
            <w:tcMar>
              <w:top w:type="dxa" w:w="80"/>
              <w:left w:type="dxa" w:w="120"/>
              <w:bottom w:type="dxa" w:w="80"/>
              <w:right w:type="dxa" w:w="120"/>
            </w:tcMar>
          </w:tcPr>
          <w:p>
            <w:r>
              <w:rPr>
                <w:b w:val="false"/>
                <w:bCs w:val="false"/>
                <w:sz w:val="20"/>
                <w:szCs w:val="20"/>
              </w:rPr>
              <w:t xml:space="preserve">Mains Max Marks</w:t>
            </w:r>
          </w:p>
        </w:tc>
        <w:tc>
          <w:tcPr>
            <w:tcW w:type="dxa" w:w="312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b w:val="false"/>
                <w:bCs w:val="false"/>
                <w:sz w:val="20"/>
                <w:szCs w:val="20"/>
              </w:rPr>
              <w:t xml:space="preserve">1750</w:t>
            </w:r>
          </w:p>
        </w:tc>
        <w:tc>
          <w:tcPr>
            <w:tcW w:type="dxa" w:w="3120"/>
            <w:tcBorders>
              <w:top w:val="single" w:color="CCCCCC" w:sz="1"/>
              <w:left w:val="single" w:color="CCCCCC" w:sz="1"/>
              <w:bottom w:val="single" w:color="CCCCCC" w:sz="1"/>
              <w:right w:val="single" w:color="CCCCCC" w:sz="1"/>
            </w:tcBorders>
            <w:shd w:fill="F8FAFC" w:val="clear"/>
            <w:tcMar>
              <w:top w:type="dxa" w:w="80"/>
              <w:left w:type="dxa" w:w="120"/>
              <w:bottom w:type="dxa" w:w="80"/>
              <w:right w:type="dxa" w:w="120"/>
            </w:tcMar>
          </w:tcPr>
          <w:p>
            <w:r>
              <w:rPr>
                <w:b w:val="false"/>
                <w:bCs w:val="false"/>
                <w:sz w:val="20"/>
                <w:szCs w:val="20"/>
              </w:rPr>
              <w:t xml:space="preserve">1750</w:t>
            </w:r>
          </w:p>
        </w:tc>
      </w:tr>
      <w:tr>
        <w:tc>
          <w:tcPr>
            <w:tcW w:type="dxa" w:w="3120"/>
            <w:tcBorders>
              <w:top w:val="single" w:color="CCCCCC" w:sz="1"/>
              <w:left w:val="single" w:color="CCCCCC" w:sz="1"/>
              <w:bottom w:val="single" w:color="CCCCCC" w:sz="1"/>
              <w:right w:val="single" w:color="CCCCCC" w:sz="1"/>
            </w:tcBorders>
            <w:shd w:fill="F8FAFC" w:val="clear"/>
            <w:tcMar>
              <w:top w:type="dxa" w:w="80"/>
              <w:left w:type="dxa" w:w="120"/>
              <w:bottom w:type="dxa" w:w="80"/>
              <w:right w:type="dxa" w:w="120"/>
            </w:tcMar>
          </w:tcPr>
          <w:p>
            <w:r>
              <w:rPr>
                <w:b w:val="false"/>
                <w:bCs w:val="false"/>
                <w:sz w:val="20"/>
                <w:szCs w:val="20"/>
              </w:rPr>
              <w:t xml:space="preserve">Interview Max Marks</w:t>
            </w:r>
          </w:p>
        </w:tc>
        <w:tc>
          <w:tcPr>
            <w:tcW w:type="dxa" w:w="312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b w:val="false"/>
                <w:bCs w:val="false"/>
                <w:sz w:val="20"/>
                <w:szCs w:val="20"/>
              </w:rPr>
              <w:t xml:space="preserve">275</w:t>
            </w:r>
          </w:p>
        </w:tc>
        <w:tc>
          <w:tcPr>
            <w:tcW w:type="dxa" w:w="3120"/>
            <w:tcBorders>
              <w:top w:val="single" w:color="CCCCCC" w:sz="1"/>
              <w:left w:val="single" w:color="CCCCCC" w:sz="1"/>
              <w:bottom w:val="single" w:color="CCCCCC" w:sz="1"/>
              <w:right w:val="single" w:color="CCCCCC" w:sz="1"/>
            </w:tcBorders>
            <w:shd w:fill="F8FAFC" w:val="clear"/>
            <w:tcMar>
              <w:top w:type="dxa" w:w="80"/>
              <w:left w:type="dxa" w:w="120"/>
              <w:bottom w:type="dxa" w:w="80"/>
              <w:right w:type="dxa" w:w="120"/>
            </w:tcMar>
          </w:tcPr>
          <w:p>
            <w:r>
              <w:rPr>
                <w:b w:val="false"/>
                <w:bCs w:val="false"/>
                <w:sz w:val="20"/>
                <w:szCs w:val="20"/>
              </w:rPr>
              <w:t xml:space="preserve">275</w:t>
            </w:r>
          </w:p>
        </w:tc>
      </w:tr>
      <w:tr>
        <w:tc>
          <w:tcPr>
            <w:tcW w:type="dxa" w:w="3120"/>
            <w:tcBorders>
              <w:top w:val="single" w:color="CCCCCC" w:sz="1"/>
              <w:left w:val="single" w:color="CCCCCC" w:sz="1"/>
              <w:bottom w:val="single" w:color="CCCCCC" w:sz="1"/>
              <w:right w:val="single" w:color="CCCCCC" w:sz="1"/>
            </w:tcBorders>
            <w:shd w:fill="F8FAFC" w:val="clear"/>
            <w:tcMar>
              <w:top w:type="dxa" w:w="80"/>
              <w:left w:type="dxa" w:w="120"/>
              <w:bottom w:type="dxa" w:w="80"/>
              <w:right w:type="dxa" w:w="120"/>
            </w:tcMar>
          </w:tcPr>
          <w:p>
            <w:r>
              <w:rPr>
                <w:b w:val="false"/>
                <w:bCs w:val="false"/>
                <w:sz w:val="20"/>
                <w:szCs w:val="20"/>
              </w:rPr>
              <w:t xml:space="preserve">Marksheet Release (Expected)</w:t>
            </w:r>
          </w:p>
        </w:tc>
        <w:tc>
          <w:tcPr>
            <w:tcW w:type="dxa" w:w="312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b w:val="false"/>
                <w:bCs w:val="false"/>
                <w:sz w:val="20"/>
                <w:szCs w:val="20"/>
              </w:rPr>
              <w:t xml:space="preserve">Within 15 days post result</w:t>
            </w:r>
          </w:p>
        </w:tc>
        <w:tc>
          <w:tcPr>
            <w:tcW w:type="dxa" w:w="3120"/>
            <w:tcBorders>
              <w:top w:val="single" w:color="CCCCCC" w:sz="1"/>
              <w:left w:val="single" w:color="CCCCCC" w:sz="1"/>
              <w:bottom w:val="single" w:color="CCCCCC" w:sz="1"/>
              <w:right w:val="single" w:color="CCCCCC" w:sz="1"/>
            </w:tcBorders>
            <w:shd w:fill="F8FAFC" w:val="clear"/>
            <w:tcMar>
              <w:top w:type="dxa" w:w="80"/>
              <w:left w:type="dxa" w:w="120"/>
              <w:bottom w:type="dxa" w:w="80"/>
              <w:right w:type="dxa" w:w="120"/>
            </w:tcMar>
          </w:tcPr>
          <w:p>
            <w:r>
              <w:rPr>
                <w:b w:val="false"/>
                <w:bCs w:val="false"/>
                <w:sz w:val="20"/>
                <w:szCs w:val="20"/>
              </w:rPr>
              <w:t xml:space="preserve">Within 15 days post result</w:t>
            </w:r>
          </w:p>
        </w:tc>
      </w:tr>
    </w:tbl>
    <w:p>
      <w:pPr>
        <w:spacing w:before="80" w:after="200"/>
      </w:pPr>
      <w:r>
        <w:rPr>
          <w:i/>
          <w:iCs/>
          <w:color w:val="6B7280"/>
          <w:sz w:val="18"/>
          <w:szCs w:val="18"/>
        </w:rPr>
        <w:t xml:space="preserve">Source: UPSC Official Notifications, studyiq.com, vajiramandravi.com</w:t>
      </w:r>
    </w:p>
    <w:p>
      <w:pPr>
        <w:pStyle w:val="Heading2"/>
        <w:spacing w:before="240" w:after="120"/>
      </w:pPr>
      <w:r>
        <w:rPr>
          <w:b/>
          <w:bCs/>
        </w:rPr>
        <w:t xml:space="preserve">Important External Links</w:t>
      </w:r>
    </w:p>
    <w:p>
      <w:pPr>
        <w:pStyle w:val="ListParagraph"/>
        <w:numPr>
          <w:ilvl w:val="0"/>
          <w:numId w:val="3"/>
        </w:numPr>
        <w:spacing w:before="80" w:after="80"/>
      </w:pPr>
      <w:r>
        <w:rPr>
          <w:sz w:val="22"/>
          <w:szCs w:val="22"/>
        </w:rPr>
        <w:t xml:space="preserve"/>
      </w:r>
      <w:hyperlink w:history="1" r:id="rIdzfzexlxwdljbnw1mgbus0">
        <w:r>
          <w:rPr>
            <w:rStyle w:val="Hyperlink"/>
            <w:color w:val="2563EB"/>
            <w:sz w:val="22"/>
            <w:szCs w:val="22"/>
          </w:rPr>
          <w:t xml:space="preserve">UPSC Official Website</w:t>
        </w:r>
      </w:hyperlink>
    </w:p>
    <w:p>
      <w:pPr>
        <w:pStyle w:val="ListParagraph"/>
        <w:numPr>
          <w:ilvl w:val="0"/>
          <w:numId w:val="3"/>
        </w:numPr>
        <w:spacing w:before="80" w:after="80"/>
      </w:pPr>
      <w:r>
        <w:rPr>
          <w:sz w:val="22"/>
          <w:szCs w:val="22"/>
        </w:rPr>
        <w:t xml:space="preserve"/>
      </w:r>
      <w:hyperlink w:history="1" r:id="rIdsijdx0sss9km6poy-fbam">
        <w:r>
          <w:rPr>
            <w:rStyle w:val="Hyperlink"/>
            <w:color w:val="2563EB"/>
            <w:sz w:val="22"/>
            <w:szCs w:val="22"/>
          </w:rPr>
          <w:t xml:space="preserve">UPSC Online Portal (Marksheet Login)</w:t>
        </w:r>
      </w:hyperlink>
    </w:p>
    <w:p>
      <w:pPr>
        <w:pStyle w:val="ListParagraph"/>
        <w:numPr>
          <w:ilvl w:val="0"/>
          <w:numId w:val="3"/>
        </w:numPr>
        <w:spacing w:before="80" w:after="80"/>
      </w:pPr>
      <w:r>
        <w:rPr>
          <w:sz w:val="22"/>
          <w:szCs w:val="22"/>
        </w:rPr>
        <w:t xml:space="preserve"/>
      </w:r>
      <w:hyperlink w:history="1" r:id="rIdtgc9dmvtx5goodwxgn3z_">
        <w:r>
          <w:rPr>
            <w:rStyle w:val="Hyperlink"/>
            <w:color w:val="2563EB"/>
            <w:sz w:val="22"/>
            <w:szCs w:val="22"/>
          </w:rPr>
          <w:t xml:space="preserve">UPSC CSE Final Result 2025 PDF</w:t>
        </w:r>
      </w:hyperlink>
    </w:p>
    <w:p>
      <w:pPr>
        <w:pStyle w:val="ListParagraph"/>
        <w:numPr>
          <w:ilvl w:val="0"/>
          <w:numId w:val="3"/>
        </w:numPr>
        <w:spacing w:before="80" w:after="80"/>
      </w:pPr>
      <w:r>
        <w:rPr>
          <w:sz w:val="22"/>
          <w:szCs w:val="22"/>
        </w:rPr>
        <w:t xml:space="preserve"/>
      </w:r>
      <w:hyperlink w:history="1" r:id="rIdqbqpfgoxz2bvytlnsmi0n">
        <w:r>
          <w:rPr>
            <w:rStyle w:val="Hyperlink"/>
            <w:color w:val="2563EB"/>
            <w:sz w:val="22"/>
            <w:szCs w:val="22"/>
          </w:rPr>
          <w:t xml:space="preserve">UPSC Notification 2026 (Prelims)</w:t>
        </w:r>
      </w:hyperlink>
    </w:p>
    <w:p>
      <w:pPr>
        <w:pStyle w:val="Heading2"/>
        <w:spacing w:before="240" w:after="120"/>
      </w:pPr>
      <w:r>
        <w:rPr>
          <w:b/>
          <w:bCs/>
        </w:rPr>
        <w:t xml:space="preserve">Frequently Asked Questions (FAQ) — UPSC Marksheet 2025</w:t>
      </w:r>
    </w:p>
    <w:p>
      <w:pPr>
        <w:spacing w:before="180" w:after="80"/>
      </w:pPr>
      <w:r>
        <w:rPr>
          <w:b/>
          <w:bCs/>
          <w:color w:val="1E3A8A"/>
          <w:sz w:val="22"/>
          <w:szCs w:val="22"/>
        </w:rPr>
        <w:t xml:space="preserve">Q1. When will the UPSC Marksheet 2025 be released?</w:t>
      </w:r>
    </w:p>
    <w:p>
      <w:pPr>
        <w:spacing w:before="100" w:after="160"/>
      </w:pPr>
      <w:r>
        <w:rPr>
          <w:sz w:val="22"/>
          <w:szCs w:val="22"/>
        </w:rPr>
        <w:t xml:space="preserve">The UPSC CSE Final Result 2025 was declared on 6 March 2026. As per UPSC practice, marksheets are uploaded within 15 days of the final result. The UPSC Marksheet 2025 is expected to be released in mid-March 2026.</w:t>
      </w:r>
    </w:p>
    <w:p>
      <w:pPr>
        <w:spacing w:before="180" w:after="80"/>
      </w:pPr>
      <w:r>
        <w:rPr>
          <w:b/>
          <w:bCs/>
          <w:color w:val="1E3A8A"/>
          <w:sz w:val="22"/>
          <w:szCs w:val="22"/>
        </w:rPr>
        <w:t xml:space="preserve">Q2. Where can I download the UPSC Marksheet 2025?</w:t>
      </w:r>
    </w:p>
    <w:p>
      <w:pPr>
        <w:spacing w:before="100" w:after="160"/>
      </w:pPr>
      <w:r>
        <w:rPr>
          <w:sz w:val="22"/>
          <w:szCs w:val="22"/>
        </w:rPr>
        <w:t xml:space="preserve">You can download it from the official UPSC website at upsc.gov.in or the marksheet portal at upsconline.nic.in. You will need your Roll Number and Date of Birth.</w:t>
      </w:r>
    </w:p>
    <w:p>
      <w:pPr>
        <w:spacing w:before="180" w:after="80"/>
      </w:pPr>
      <w:r>
        <w:rPr>
          <w:b/>
          <w:bCs/>
          <w:color w:val="1E3A8A"/>
          <w:sz w:val="22"/>
          <w:szCs w:val="22"/>
        </w:rPr>
        <w:t xml:space="preserve">Q3. Is the UPSC marksheet available for non-recommended candidates?</w:t>
      </w:r>
    </w:p>
    <w:p>
      <w:pPr>
        <w:spacing w:before="100" w:after="160"/>
      </w:pPr>
      <w:r>
        <w:rPr>
          <w:sz w:val="22"/>
          <w:szCs w:val="22"/>
        </w:rPr>
        <w:t xml:space="preserve">Yes. UPSC releases marksheets for all candidates who appeared in the Mains and Interview, not just the recommended ones. This helps everyone analyse their performance.</w:t>
      </w:r>
    </w:p>
    <w:p>
      <w:pPr>
        <w:spacing w:before="180" w:after="80"/>
      </w:pPr>
      <w:r>
        <w:rPr>
          <w:b/>
          <w:bCs/>
          <w:color w:val="1E3A8A"/>
          <w:sz w:val="22"/>
          <w:szCs w:val="22"/>
        </w:rPr>
        <w:t xml:space="preserve">Q4. What is the total marks for UPSC CSE 2025?</w:t>
      </w:r>
    </w:p>
    <w:p>
      <w:pPr>
        <w:spacing w:before="100" w:after="160"/>
      </w:pPr>
      <w:r>
        <w:rPr>
          <w:sz w:val="22"/>
          <w:szCs w:val="22"/>
        </w:rPr>
        <w:t xml:space="preserve">The total merit marks are 2025 — comprising 1750 marks for the Mains written examination and 275 marks for the Personality Test (Interview).</w:t>
      </w:r>
    </w:p>
    <w:p>
      <w:pPr>
        <w:spacing w:before="180" w:after="80"/>
      </w:pPr>
      <w:r>
        <w:rPr>
          <w:b/>
          <w:bCs/>
          <w:color w:val="1E3A8A"/>
          <w:sz w:val="22"/>
          <w:szCs w:val="22"/>
        </w:rPr>
        <w:t xml:space="preserve">Q5. Who is the UPSC topper in 2025?</w:t>
      </w:r>
    </w:p>
    <w:p>
      <w:pPr>
        <w:spacing w:before="100" w:after="160"/>
      </w:pPr>
      <w:r>
        <w:rPr>
          <w:sz w:val="22"/>
          <w:szCs w:val="22"/>
        </w:rPr>
        <w:t xml:space="preserve">Anuj Agnihotri secured AIR 1 in UPSC Civil Services Examination 2025, as per the final result declared on 6 March 2026. Rajeshwari Suve M secured AIR 2 and Akansh Dhull secured AIR 3.</w:t>
      </w:r>
    </w:p>
    <w:p>
      <w:pPr>
        <w:spacing w:before="180" w:after="80"/>
      </w:pPr>
      <w:r>
        <w:rPr>
          <w:b/>
          <w:bCs/>
          <w:color w:val="1E3A8A"/>
          <w:sz w:val="22"/>
          <w:szCs w:val="22"/>
        </w:rPr>
        <w:t xml:space="preserve">Q6. Will UPSC send a physical copy of the marksheet?</w:t>
      </w:r>
    </w:p>
    <w:p>
      <w:pPr>
        <w:spacing w:before="100" w:after="160"/>
      </w:pPr>
      <w:r>
        <w:rPr>
          <w:sz w:val="22"/>
          <w:szCs w:val="22"/>
        </w:rPr>
        <w:t xml:space="preserve">No. UPSC does not send printed marksheets to candidates. The scorecard is available only online, in PDF format. Download and save it yourself.</w:t>
      </w:r>
    </w:p>
    <w:p>
      <w:pPr>
        <w:spacing w:before="180" w:after="80"/>
      </w:pPr>
      <w:r>
        <w:rPr>
          <w:b/>
          <w:bCs/>
          <w:color w:val="1E3A8A"/>
          <w:sz w:val="22"/>
          <w:szCs w:val="22"/>
        </w:rPr>
        <w:t xml:space="preserve">Q7. How many candidates were recommended in UPSC 2025?</w:t>
      </w:r>
    </w:p>
    <w:p>
      <w:pPr>
        <w:spacing w:before="100" w:after="160"/>
      </w:pPr>
      <w:r>
        <w:rPr>
          <w:sz w:val="22"/>
          <w:szCs w:val="22"/>
        </w:rPr>
        <w:t xml:space="preserve">A total of 958 candidates were recommended for prestigious services including IAS, IPS, IFS, and other Group A and B central services in UPSC CSE 2025.</w:t>
      </w:r>
    </w:p>
    <w:p>
      <w:pPr>
        <w:spacing w:before="180" w:after="80"/>
      </w:pPr>
      <w:r>
        <w:rPr>
          <w:b/>
          <w:bCs/>
          <w:color w:val="1E3A8A"/>
          <w:sz w:val="22"/>
          <w:szCs w:val="22"/>
        </w:rPr>
        <w:t xml:space="preserve">Q8. What marks are not counted in the UPSC final merit score?</w:t>
      </w:r>
    </w:p>
    <w:p>
      <w:pPr>
        <w:spacing w:before="100" w:after="160"/>
      </w:pPr>
      <w:r>
        <w:rPr>
          <w:sz w:val="22"/>
          <w:szCs w:val="22"/>
        </w:rPr>
        <w:t xml:space="preserve">The two qualifying papers — one Indian language paper and the English paper — are not counted toward the final merit score. They are pass/fail papers only.</w:t>
      </w:r>
    </w:p>
    <w:p>
      <w:pPr>
        <w:pStyle w:val="Heading2"/>
        <w:spacing w:before="240" w:after="120"/>
      </w:pPr>
      <w:r>
        <w:rPr>
          <w:b/>
          <w:bCs/>
        </w:rPr>
        <w:t xml:space="preserve">Final Thoughts</w:t>
      </w:r>
    </w:p>
    <w:p>
      <w:pPr>
        <w:spacing w:before="100" w:after="160"/>
      </w:pPr>
      <w:r>
        <w:rPr>
          <w:sz w:val="22"/>
          <w:szCs w:val="22"/>
        </w:rPr>
        <w:t xml:space="preserve">The </w:t>
      </w:r>
      <w:r>
        <w:rPr>
          <w:b/>
          <w:bCs/>
          <w:sz w:val="22"/>
          <w:szCs w:val="22"/>
        </w:rPr>
        <w:t xml:space="preserve">UPSC Marksheet 2025</w:t>
      </w:r>
      <w:r>
        <w:rPr>
          <w:sz w:val="22"/>
          <w:szCs w:val="22"/>
        </w:rPr>
        <w:t xml:space="preserve"> is more than a document — it is a strategic tool. For those who made it to the merit list, it confirms their performance in black and white. For those who did not, it is the most honest coaching session they will ever get, completely free of charge.</w:t>
      </w:r>
    </w:p>
    <w:p>
      <w:pPr>
        <w:spacing w:before="100" w:after="160"/>
      </w:pPr>
      <w:r>
        <w:rPr>
          <w:sz w:val="22"/>
          <w:szCs w:val="22"/>
        </w:rPr>
        <w:t xml:space="preserve">Keep checking </w:t>
      </w:r>
      <w:hyperlink w:history="1" r:id="rIdjxujiseyx-gel0zsyjmh_">
        <w:r>
          <w:rPr>
            <w:rStyle w:val="Hyperlink"/>
            <w:color w:val="2563EB"/>
            <w:sz w:val="22"/>
            <w:szCs w:val="22"/>
          </w:rPr>
          <w:t xml:space="preserve">upsc.gov.in</w:t>
        </w:r>
      </w:hyperlink>
      <w:r>
        <w:rPr>
          <w:sz w:val="22"/>
          <w:szCs w:val="22"/>
        </w:rPr>
        <w:t xml:space="preserve"> in mid-March 2026 for the direct download link. Download it, study it, and use it to come back stronger. The exam does not judge your potential — it measures your preparation on one particular day. Your marksheet tells you exactly how to bridge that gap.</w:t>
      </w:r>
    </w:p>
    <w:p>
      <w:pPr>
        <w:spacing w:before="360" w:after="200"/>
        <w:jc w:val="center"/>
      </w:pPr>
      <w:r>
        <w:rPr>
          <w:i/>
          <w:iCs/>
          <w:color w:val="6B7280"/>
          <w:sz w:val="18"/>
          <w:szCs w:val="18"/>
        </w:rPr>
        <w:t xml:space="preserve">All data sourced from upsc.gov.in — Union Public Service Commission, Government of India</w:t>
      </w:r>
    </w:p>
    <w:sectPr>
      <w:pgSz w:w="12240" w:h="15840"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720" w:hanging="360"/>
      </w:pPr>
      <w:rPr>
        <w:rFonts w:ascii="Symbol" w:cs="Symbol" w:eastAsia="Symbol" w:hAnsi="Symbol"/>
      </w:rPr>
    </w:lvl>
  </w:abstractNum>
  <w:abstractNum w:abstractNumId="3" w15:restartNumberingAfterBreak="0">
    <w:multiLevelType w:val="hybridMultilevel"/>
    <w:lvl w:ilvl="0" w15:tentative="1">
      <w:start w:val="1"/>
      <w:numFmt w:val="decimal"/>
      <w:lvlText w:val="%1."/>
      <w:lvlJc w:val="left"/>
      <w:pPr>
        <w:ind w:left="720" w:hanging="360"/>
      </w:pPr>
    </w:lvl>
  </w:abstractNum>
  <w:num w:numId="1">
    <w:abstractNumId w:val="1"/>
    <w:lvlOverride w:ilvl="0">
      <w:startOverride w:val="1"/>
    </w:lvlOverride>
  </w:num>
  <w:num w:numId="2">
    <w:abstractNumId w:val="3"/>
    <w:lvlOverride w:ilvl="0">
      <w:startOverride w:val="1"/>
    </w:lvlOverride>
  </w:num>
  <w:num w:numId="3">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uri="http://schemas.microsoft.com/office/word" w:name="compatibilityMode"/>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cs="Calibri" w:eastAsia="Calibri" w:hAnsi="Calibri"/>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paragraph" w:styleId="Heading1">
    <w:name w:val="Heading 1"/>
    <w:basedOn w:val="Normal"/>
    <w:next w:val="Normal"/>
    <w:qFormat/>
    <w:pPr>
      <w:spacing w:before="360" w:after="200"/>
      <w:outlineLvl w:val="0"/>
    </w:pPr>
    <w:rPr>
      <w:rFonts w:ascii="Calibri" w:cs="Calibri" w:eastAsia="Calibri" w:hAnsi="Calibri"/>
      <w:b/>
      <w:bCs/>
      <w:color w:val="1E3A8A"/>
      <w:sz w:val="36"/>
      <w:szCs w:val="36"/>
    </w:rPr>
  </w:style>
  <w:style w:type="paragraph" w:styleId="Heading2">
    <w:name w:val="Heading 2"/>
    <w:basedOn w:val="Normal"/>
    <w:next w:val="Normal"/>
    <w:qFormat/>
    <w:pPr>
      <w:spacing w:before="280" w:after="160"/>
      <w:outlineLvl w:val="1"/>
    </w:pPr>
    <w:rPr>
      <w:rFonts w:ascii="Calibri" w:cs="Calibri" w:eastAsia="Calibri" w:hAnsi="Calibri"/>
      <w:b/>
      <w:bCs/>
      <w:color w:val="2563EB"/>
      <w:sz w:val="28"/>
      <w:szCs w:val="28"/>
    </w:rPr>
  </w:style>
  <w:style w:type="paragraph" w:styleId="Heading3">
    <w:name w:val="Heading 3"/>
    <w:basedOn w:val="Normal"/>
    <w:next w:val="Normal"/>
    <w:qFormat/>
    <w:pPr>
      <w:spacing w:before="200" w:after="120"/>
      <w:outlineLvl w:val="2"/>
    </w:pPr>
    <w:rPr>
      <w:rFonts w:ascii="Calibri" w:cs="Calibri" w:eastAsia="Calibri" w:hAnsi="Calibri"/>
      <w:b/>
      <w:bCs/>
      <w:color w:val="1D4ED8"/>
      <w:sz w:val="24"/>
      <w:szCs w:val="24"/>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 Id="rId5" Type="http://schemas.openxmlformats.org/officeDocument/2006/relationships/comments" Target="comments.xml"/><Relationship Id="rId5w45svgdkxitdwj10o8wl" Type="http://schemas.openxmlformats.org/officeDocument/2006/relationships/hyperlink" Target="https://upsc.gov.in" TargetMode="External"/><Relationship Id="rIdnvixf9dfwd3gl1n5f-kq7" Type="http://schemas.openxmlformats.org/officeDocument/2006/relationships/hyperlink" Target="https://upsc.gov.in" TargetMode="External"/><Relationship Id="rIdzfzexlxwdljbnw1mgbus0" Type="http://schemas.openxmlformats.org/officeDocument/2006/relationships/hyperlink" Target="https://upsc.gov.in" TargetMode="External"/><Relationship Id="rIdsijdx0sss9km6poy-fbam" Type="http://schemas.openxmlformats.org/officeDocument/2006/relationships/hyperlink" Target="https://upsconline.nic.in/marksheet/exam/marksheet_system/archives.php" TargetMode="External"/><Relationship Id="rIdtgc9dmvtx5goodwxgn3z_" Type="http://schemas.openxmlformats.org/officeDocument/2006/relationships/hyperlink" Target="https://upsc.gov.in" TargetMode="External"/><Relationship Id="rIdqbqpfgoxz2bvytlnsmi0n" Type="http://schemas.openxmlformats.org/officeDocument/2006/relationships/hyperlink" Target="https://upsconline.nic.in" TargetMode="External"/><Relationship Id="rIdjxujiseyx-gel0zsyjmh_" Type="http://schemas.openxmlformats.org/officeDocument/2006/relationships/hyperlink" Target="https://upsc.gov.in" TargetMode="External"/><Relationship Id="rId13" Type="http://schemas.openxmlformats.org/officeDocument/2006/relationships/fontTable" Target="fontTable.xml"/></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2026-03-10T09:19:02.254Z</dcterms:created>
  <dcterms:modified xsi:type="dcterms:W3CDTF">2026-03-10T09:19:02.254Z</dcterms:modified>
</cp:coreProperties>
</file>

<file path=docProps/custom.xml><?xml version="1.0" encoding="utf-8"?>
<Properties xmlns="http://schemas.openxmlformats.org/officeDocument/2006/custom-properties" xmlns:vt="http://schemas.openxmlformats.org/officeDocument/2006/docPropsVTypes"/>
</file>